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0" w:firstLineChars="0"/>
        <w:jc w:val="center"/>
        <w:textAlignment w:val="auto"/>
        <w:rPr>
          <w:rFonts w:ascii="宋体" w:hAnsi="宋体" w:eastAsia="宋体"/>
          <w:b/>
          <w:sz w:val="44"/>
          <w:szCs w:val="44"/>
        </w:rPr>
      </w:pPr>
      <w:bookmarkStart w:id="1" w:name="_GoBack"/>
      <w:bookmarkEnd w:id="1"/>
      <w:bookmarkStart w:id="0" w:name="_Toc396293486"/>
      <w:r>
        <w:rPr>
          <w:rFonts w:hint="eastAsia" w:ascii="宋体" w:hAnsi="宋体" w:eastAsia="宋体"/>
          <w:b/>
          <w:sz w:val="44"/>
          <w:szCs w:val="44"/>
        </w:rPr>
        <w:pict>
          <v:shape id="_x0000_s1026" o:spid="_x0000_s1026" o:spt="201" type="#_x0000_t201" style="position:absolute;left:0pt;margin-left:387.6pt;margin-top:78.55pt;height:116.25pt;width:112.5pt;mso-position-horizontal-relative:page;mso-position-vertical-relative:page;z-index:251658240;mso-width-relative:page;mso-height-relative:page;" o:ole="t" filled="f" o:preferrelative="t" stroked="f" coordsize="21600,21600">
            <v:path/>
            <v:fill on="f" focussize="0,0"/>
            <v:stroke on="f"/>
            <v:imagedata r:id="rId11" o:title=""/>
            <o:lock v:ext="edit" aspectratio="f"/>
          </v:shape>
          <w:control r:id="rId10" w:name="BJCAWordSign1" w:shapeid="_x0000_s1026"/>
        </w:pict>
      </w:r>
      <w:r>
        <w:rPr>
          <w:rFonts w:hint="eastAsia" w:ascii="宋体" w:hAnsi="宋体" w:eastAsia="宋体"/>
          <w:b/>
          <w:sz w:val="44"/>
          <w:szCs w:val="44"/>
        </w:rPr>
        <w:t>西城区人民政府白纸坊街道办事处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0" w:firstLineChars="0"/>
        <w:jc w:val="center"/>
        <w:textAlignment w:val="auto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2019年全年区级财政支出绩效跟踪报告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textAlignment w:val="auto"/>
        <w:rPr>
          <w:rFonts w:ascii="宋体" w:hAnsi="宋体"/>
          <w:kern w:val="4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3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一、绩效跟踪工作组织实施情况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北京市西城区人民政府白纸坊街道办事处（以下简称“白纸坊街道”）是西城区人民政府的派出机构，共有一委七办三中心11个职能科室及内设机构（即纪工委、综合办公室、党群工作办公室、地方协调服务办公室、城市管理办公室、社区建设办公室、民生保障办公室、平安建设办公室、市民服务中心、全响应街区治理中心、党群服务办公室），以及</w:t>
      </w:r>
      <w:r>
        <w:rPr>
          <w:sz w:val="32"/>
          <w:szCs w:val="32"/>
        </w:rPr>
        <w:t>南菜园幼儿园、樱桃园幼儿园</w:t>
      </w:r>
      <w:r>
        <w:rPr>
          <w:rFonts w:hint="eastAsia" w:ascii="仿宋_GB2312"/>
          <w:sz w:val="32"/>
          <w:szCs w:val="32"/>
        </w:rPr>
        <w:t>两家自收自支事业单位，</w:t>
      </w:r>
      <w:r>
        <w:rPr>
          <w:sz w:val="32"/>
          <w:szCs w:val="32"/>
        </w:rPr>
        <w:t>所属居民自治组织</w:t>
      </w:r>
      <w:r>
        <w:rPr>
          <w:rFonts w:ascii="仿宋_GB2312"/>
          <w:sz w:val="32"/>
          <w:szCs w:val="32"/>
        </w:rPr>
        <w:t>1</w:t>
      </w:r>
      <w:r>
        <w:rPr>
          <w:rFonts w:hint="eastAsia" w:ascii="仿宋_GB2312"/>
          <w:sz w:val="32"/>
          <w:szCs w:val="32"/>
        </w:rPr>
        <w:t>9</w:t>
      </w:r>
      <w:r>
        <w:rPr>
          <w:rFonts w:ascii="仿宋_GB2312"/>
          <w:sz w:val="32"/>
          <w:szCs w:val="32"/>
        </w:rPr>
        <w:t>个</w:t>
      </w:r>
      <w:r>
        <w:rPr>
          <w:rFonts w:hint="eastAsia" w:ascii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为了加强预算绩效管理，强化支出责任，建立科学、合理的财政支出绩效跟踪机制，提高财政资金使用效益，根据《西城区区级财政支出绩效跟踪管理办法》的要求，白纸坊街道预算绩效管理工作由财政科牵头实施，负责牵头日常具体工作，包括资料收集、沟通协调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/>
        <w:textAlignment w:val="auto"/>
        <w:rPr>
          <w:rFonts w:ascii="仿宋_GB2312"/>
          <w:sz w:val="32"/>
          <w:szCs w:val="32"/>
        </w:rPr>
      </w:pPr>
      <w:r>
        <w:rPr>
          <w:rFonts w:hint="eastAsia" w:ascii="仿宋_GB2312" w:hAnsi="宋体" w:cs="宋体"/>
          <w:sz w:val="32"/>
          <w:szCs w:val="32"/>
        </w:rPr>
        <w:t>白纸坊街道2019年绩效跟踪工作于2019年2月启动，按照</w:t>
      </w:r>
      <w:r>
        <w:rPr>
          <w:rFonts w:hint="eastAsia" w:ascii="仿宋_GB2312"/>
          <w:sz w:val="32"/>
          <w:szCs w:val="32"/>
        </w:rPr>
        <w:t>《西城区区级财政支出绩效跟踪管理办法》的要求共选取24个项目进行绩效跟踪，资金量共计</w:t>
      </w:r>
      <w:r>
        <w:rPr>
          <w:rFonts w:hint="eastAsia" w:ascii="仿宋_GB2312" w:hAnsi="Arial Unicode MS" w:cs="Arial Unicode MS"/>
          <w:kern w:val="0"/>
          <w:sz w:val="32"/>
          <w:szCs w:val="32"/>
        </w:rPr>
        <w:t>12768.98</w:t>
      </w:r>
      <w:r>
        <w:rPr>
          <w:rFonts w:hint="eastAsia" w:ascii="仿宋_GB2312"/>
          <w:sz w:val="32"/>
          <w:szCs w:val="32"/>
        </w:rPr>
        <w:t>万元，占年初项目预算总额的53.64%，同时就绩效跟踪工作内容、具体操作及工作要求对相关科室开展了培训工作。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707" w:firstLineChars="221"/>
        <w:textAlignment w:val="auto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2019年12月白纸坊街道完成了全年绩效跟踪工作，主要包括对预算申报的初始绩效目标进行细化、完善、修订，梳理、分析项目实施及进展情况，对相关绩效资料进行归集整理，在此基础上填报《西城区区级项目支出绩效跟踪分析表》、撰写上半年《区级财政支出绩效跟踪报告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3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二、年度预算执行情况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（一）部门预算执行情况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/>
        <w:textAlignment w:val="auto"/>
        <w:rPr>
          <w:rFonts w:ascii="仿宋_GB2312" w:hAnsi="宋体" w:cs="宋体"/>
          <w:sz w:val="32"/>
          <w:szCs w:val="32"/>
        </w:rPr>
      </w:pPr>
      <w:r>
        <w:rPr>
          <w:rFonts w:hint="eastAsia" w:ascii="仿宋_GB2312" w:hAnsi="宋体" w:cs="宋体"/>
          <w:sz w:val="32"/>
          <w:szCs w:val="32"/>
        </w:rPr>
        <w:t>2019年度，区财政批复白纸坊街道部门预算总额31978.19万元，其中基本经费6764.69万元、项目经费25213.5万元；截止2019年12月31日，账面显示实际支出31479.3万元，其中基本经费支出6764.69万元、项目经费支出24714.61万元。部门整体预算执行率98.43%，基本经费预算执行率100.00%、项目经费预算执行率98.02%。具体情况如下表：</w:t>
      </w:r>
    </w:p>
    <w:p>
      <w:pPr>
        <w:widowControl/>
        <w:ind w:firstLine="560" w:firstLineChars="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                        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单位：元</w:t>
      </w:r>
    </w:p>
    <w:tbl>
      <w:tblPr>
        <w:tblStyle w:val="7"/>
        <w:tblW w:w="911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3"/>
        <w:gridCol w:w="2295"/>
        <w:gridCol w:w="3000"/>
        <w:gridCol w:w="1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经费类型及级次</w:t>
            </w:r>
          </w:p>
        </w:tc>
        <w:tc>
          <w:tcPr>
            <w:tcW w:w="22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预算指标批复金额</w:t>
            </w:r>
          </w:p>
        </w:tc>
        <w:tc>
          <w:tcPr>
            <w:tcW w:w="3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截止12月31日支出金额</w:t>
            </w:r>
          </w:p>
        </w:tc>
        <w:tc>
          <w:tcPr>
            <w:tcW w:w="1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预算执行率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部门预算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319,781,930.26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314,793,046.25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98.43%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基本经费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67,646,930.24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67,646,930.24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项目经费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252,135,000.02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247,146,116.01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98.02%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（二）跟踪项目预算执行情况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rPr>
          <w:rFonts w:ascii="仿宋_GB2312"/>
          <w:sz w:val="32"/>
          <w:szCs w:val="32"/>
        </w:rPr>
      </w:pPr>
      <w:r>
        <w:rPr>
          <w:rFonts w:hint="eastAsia" w:ascii="仿宋_GB2312" w:hAnsi="宋体" w:cs="宋体"/>
          <w:sz w:val="32"/>
          <w:szCs w:val="32"/>
        </w:rPr>
        <w:t>2019年实施绩效跟踪的24个项目年初预算总额</w:t>
      </w:r>
      <w:r>
        <w:rPr>
          <w:rFonts w:hint="eastAsia" w:ascii="仿宋_GB2312" w:hAnsi="Arial Unicode MS" w:cs="Arial Unicode MS"/>
          <w:kern w:val="0"/>
          <w:sz w:val="32"/>
          <w:szCs w:val="32"/>
        </w:rPr>
        <w:t>12768.98</w:t>
      </w:r>
      <w:r>
        <w:rPr>
          <w:rFonts w:hint="eastAsia" w:ascii="仿宋_GB2312"/>
          <w:sz w:val="32"/>
          <w:szCs w:val="32"/>
        </w:rPr>
        <w:t>万元，截止2019年12月31日支出12064.5万元，预算执行率94.48%。具体情况如下表：</w:t>
      </w:r>
    </w:p>
    <w:p>
      <w:pPr>
        <w:widowControl/>
        <w:snapToGrid w:val="0"/>
        <w:spacing w:line="360" w:lineRule="auto"/>
        <w:ind w:firstLine="64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                              </w:t>
      </w:r>
    </w:p>
    <w:p>
      <w:pPr>
        <w:widowControl/>
        <w:snapToGrid w:val="0"/>
        <w:spacing w:line="360" w:lineRule="auto"/>
        <w:ind w:firstLine="7360" w:firstLineChars="23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单位：元</w:t>
      </w:r>
    </w:p>
    <w:tbl>
      <w:tblPr>
        <w:tblStyle w:val="7"/>
        <w:tblW w:w="9827" w:type="dxa"/>
        <w:tblInd w:w="-2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125"/>
        <w:gridCol w:w="1312"/>
        <w:gridCol w:w="2168"/>
        <w:gridCol w:w="1912"/>
        <w:gridCol w:w="1710"/>
        <w:gridCol w:w="11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99FFCC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12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FFCC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功能分类代码</w:t>
            </w:r>
          </w:p>
        </w:tc>
        <w:tc>
          <w:tcPr>
            <w:tcW w:w="131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FFCC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功能分</w:t>
            </w:r>
          </w:p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类名称</w:t>
            </w:r>
          </w:p>
        </w:tc>
        <w:tc>
          <w:tcPr>
            <w:tcW w:w="216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FFCC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91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FFCC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年初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预算</w:t>
            </w:r>
          </w:p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批复金额</w:t>
            </w:r>
          </w:p>
        </w:tc>
        <w:tc>
          <w:tcPr>
            <w:tcW w:w="171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FFCC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截止12月31日</w:t>
            </w:r>
          </w:p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支出金额</w:t>
            </w:r>
          </w:p>
        </w:tc>
        <w:tc>
          <w:tcPr>
            <w:tcW w:w="110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99FFCC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预算</w:t>
            </w:r>
          </w:p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执行率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2080208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基层政权和社区建设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社区工作者人员经费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34,471,450.00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33,811,208.31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98.08%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2081901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城市最低生活保障金支出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城市最低生活保障金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15,000,000.00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14,995,700.00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99.97%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2080208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基层政权和社区建设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社区办公及活动用房租赁费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11,448,929.43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11,437,295.93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99.90%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2120201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城乡社区规划与管理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城市绿化和环卫保洁支出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10,000,000.00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9,916,204.52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99.16%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2129901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其他城乡社区支出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聘用反恐防暴、治安巡防及微型消防站保安员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6,540,000.00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6,540,000.00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2013699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其他共产党事务支出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党组织服务群众专项经费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5,700,000.00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5,609,806.80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98.42%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2081107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残疾人生活和护理补贴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生活困难及重度残疾人补贴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5,412,000.00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4,665,344.06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86.20%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2080502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事业单位离退休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幼儿园退休、退职人员经费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4,677,619.68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3,981,290.46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85.11%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2120201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城乡社区规划与管理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拆除违法建设、治理开墙打洞及环境应急处置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4,000,000.00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4,000,000.00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2120201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城乡社区规划与管理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网格化环境治理监督队费用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3,430,425.00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2,337,300.00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68.13%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2080599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其他行政事业单位离退休支出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民政退休人员工资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3,020,000.00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2,815,604.35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93.23%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2080705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公益性岗位补贴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公益性组织街道体制经费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2,850,000.00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1,305,133.94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45.79%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2101301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城乡医疗救助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低保及边缘人员医疗救助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2,700,000.00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2,691,422.29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99.68%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49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2080208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基层政权和社区建设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社区办公用房装修修缮工程款及往年质保金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2,639,800.00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2,514,739.07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95.26%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49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2013699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其他共产党事务支出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党组织活动经费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2,594,400.00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2,437,453.85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93.95%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2080208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基层政权和社区建设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社区工作者日常公用支出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2,063,600.00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1,971,102.44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95.52%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2129901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其他城乡社区支出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平安街道建设经费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1,700,000.00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1,699,919.80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2080208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基层政权和社区建设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社区公益金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1,600,200.00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1,575,549.50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98.46%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2101399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其他医疗救助支出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退养人员医药费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1,500,000.00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1,230,226.23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82.02%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2082001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临时救助支出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低保及边缘人员临时救助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1,441,400.00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441,400.00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30.62%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2120201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城乡社区规划与管理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城市管理监督队工作经费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1,400,000.00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1,237,697.83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88.41%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2013399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其他宣传事务支出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精神文明创建及宣传教育活动经费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1,300,000.00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1,299,896.45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99.99%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2120201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城乡社区规划与管理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城市环境建设监督及市容市貌管理经费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1,200,000.00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1,153,579.76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96.13%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2120201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城乡社区规划与管理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社区小型零星环境整治支出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1,000,000.00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977,159.84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97.72%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102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127,689,824.11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120,645,035.43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94.48%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三、绩效目标情况及分析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（一）绩效目标完成情况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rPr>
          <w:rFonts w:hint="eastAsia" w:ascii="仿宋_GB2312" w:hAnsi="宋体" w:cs="宋体"/>
          <w:sz w:val="32"/>
          <w:szCs w:val="32"/>
        </w:rPr>
      </w:pPr>
      <w:r>
        <w:rPr>
          <w:rFonts w:hint="eastAsia" w:ascii="仿宋_GB2312" w:hAnsi="宋体" w:cs="宋体"/>
          <w:sz w:val="32"/>
          <w:szCs w:val="32"/>
        </w:rPr>
        <w:t>2019年跟踪的24个项目中，17个项目按预期计划实施，预算执行率在90%以上。7个项目因合同约定的付款要求、项目实施时间要求等原因预算执行率未超过90%，执行进度较慢，具体完成情况如下：</w:t>
      </w:r>
    </w:p>
    <w:tbl>
      <w:tblPr>
        <w:tblStyle w:val="8"/>
        <w:tblW w:w="9542" w:type="dxa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597"/>
        <w:gridCol w:w="1350"/>
        <w:gridCol w:w="4689"/>
        <w:gridCol w:w="1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893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宋体" w:cs="宋体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97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宋体" w:cs="宋体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宋体" w:cs="宋体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预算执行率</w:t>
            </w:r>
          </w:p>
        </w:tc>
        <w:tc>
          <w:tcPr>
            <w:tcW w:w="4689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宋体" w:cs="宋体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绩效目标完成情况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宋体" w:cs="宋体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附表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97" w:type="dxa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生活困难及重度残疾人补贴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ind w:firstLine="0" w:firstLineChars="0"/>
              <w:jc w:val="right"/>
              <w:rPr>
                <w:rFonts w:hint="eastAsia" w:ascii="仿宋_GB2312" w:hAnsi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86.20%</w:t>
            </w:r>
          </w:p>
        </w:tc>
        <w:tc>
          <w:tcPr>
            <w:tcW w:w="4689" w:type="dxa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年中审核时，有30余人做了停发（已去世人员）；部分无业人员已就业，停发生活补贴。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附表7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97" w:type="dxa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幼儿园退休、退职人员经费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ind w:firstLine="0" w:firstLineChars="0"/>
              <w:jc w:val="right"/>
              <w:rPr>
                <w:rFonts w:hint="eastAsia" w:ascii="仿宋_GB2312" w:hAnsi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85.11%</w:t>
            </w:r>
          </w:p>
        </w:tc>
        <w:tc>
          <w:tcPr>
            <w:tcW w:w="4689" w:type="dxa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19年预估</w:t>
            </w:r>
            <w:r>
              <w:rPr>
                <w:rFonts w:asciiTheme="minorEastAsia" w:hAnsiTheme="minorEastAsia" w:eastAsiaTheme="minorEastAsia"/>
                <w:sz w:val="22"/>
              </w:rPr>
              <w:t>幼儿园退休人员抚恤金\丧葬费</w:t>
            </w:r>
            <w:r>
              <w:rPr>
                <w:rFonts w:hint="eastAsia" w:asciiTheme="minorEastAsia" w:hAnsiTheme="minorEastAsia" w:eastAsiaTheme="minorEastAsia"/>
                <w:sz w:val="22"/>
              </w:rPr>
              <w:t>，实际尚未发生。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附表8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97" w:type="dxa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网格化环境治理监督队费用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ind w:firstLine="0" w:firstLineChars="0"/>
              <w:jc w:val="right"/>
              <w:rPr>
                <w:rFonts w:hint="eastAsia" w:ascii="仿宋_GB2312" w:hAnsi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68.13%</w:t>
            </w:r>
          </w:p>
        </w:tc>
        <w:tc>
          <w:tcPr>
            <w:tcW w:w="4689" w:type="dxa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此预算项目定的监督队员人数是45人，等签劳务合同时，减少15人，监督队员人数实际30人，所以费用降低。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附表10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97" w:type="dxa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公益性组织街道体制经费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ind w:firstLine="0" w:firstLineChars="0"/>
              <w:jc w:val="right"/>
              <w:rPr>
                <w:rFonts w:hint="eastAsia" w:ascii="仿宋_GB2312" w:hAnsi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45.79%</w:t>
            </w:r>
          </w:p>
        </w:tc>
        <w:tc>
          <w:tcPr>
            <w:tcW w:w="4689" w:type="dxa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因先支付公益性组织结余，然后再使用财政预算经费。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附表12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97" w:type="dxa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退养人员医药费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ind w:firstLine="0" w:firstLineChars="0"/>
              <w:jc w:val="right"/>
              <w:rPr>
                <w:rFonts w:hint="eastAsia" w:ascii="仿宋_GB2312" w:hAnsi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82.02%</w:t>
            </w:r>
          </w:p>
        </w:tc>
        <w:tc>
          <w:tcPr>
            <w:tcW w:w="4689" w:type="dxa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因19年报销比例增加到80%，财政预算经费估高，又因老人岁数越来越大，死亡人数增加，实际报销医药费比去年人数有所下降。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附表19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97" w:type="dxa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低保及边缘人员临时救助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ind w:firstLine="0" w:firstLineChars="0"/>
              <w:jc w:val="right"/>
              <w:rPr>
                <w:rFonts w:hint="eastAsia" w:ascii="仿宋_GB2312" w:hAnsi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30.62%</w:t>
            </w:r>
          </w:p>
        </w:tc>
        <w:tc>
          <w:tcPr>
            <w:tcW w:w="4689" w:type="dxa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预计低保金调高标准，实际并无变化；今年权限下放，11月第一次的取暖补贴未下放，故与第二次取暖补贴一并发放。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附表20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97" w:type="dxa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宋体"/>
                <w:sz w:val="32"/>
                <w:szCs w:val="32"/>
                <w:vertAlign w:val="baseline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城市管理监督队工作经费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ind w:firstLine="0" w:firstLineChars="0"/>
              <w:jc w:val="right"/>
              <w:rPr>
                <w:rFonts w:hint="eastAsia" w:ascii="仿宋_GB2312" w:hAnsi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88.41%</w:t>
            </w:r>
          </w:p>
        </w:tc>
        <w:tc>
          <w:tcPr>
            <w:tcW w:w="4689" w:type="dxa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合同签订月19年5月份，按照合同支付要求，截止19年年底支付80%，另一部分支付18年的项目尾款。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附表21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rPr>
          <w:rFonts w:hint="eastAsia" w:ascii="楷体" w:hAnsi="楷体" w:eastAsia="楷体" w:cs="楷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rPr>
          <w:rFonts w:hint="eastAsia" w:ascii="楷体" w:hAnsi="楷体" w:eastAsia="楷体" w:cs="楷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（二）原因分析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default" w:ascii="仿宋_GB2312" w:hAnsi="仿宋_GB2312" w:cs="仿宋_GB2312"/>
          <w:sz w:val="32"/>
          <w:szCs w:val="32"/>
          <w:lang w:eastAsia="zh-CN"/>
        </w:rPr>
        <w:t>目前街道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  <w:t>预算</w:t>
      </w:r>
      <w:r>
        <w:rPr>
          <w:rFonts w:hint="default" w:ascii="仿宋_GB2312" w:hAnsi="仿宋_GB2312" w:cs="仿宋_GB2312"/>
          <w:i w:val="0"/>
          <w:caps w:val="0"/>
          <w:color w:val="000000"/>
          <w:spacing w:val="0"/>
          <w:sz w:val="32"/>
          <w:szCs w:val="32"/>
          <w:u w:val="none"/>
        </w:rPr>
        <w:t>规模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  <w:t>不断加大，但仍然存在执行</w:t>
      </w:r>
      <w:r>
        <w:rPr>
          <w:rFonts w:hint="default" w:ascii="仿宋_GB2312" w:hAnsi="仿宋_GB2312" w:cs="仿宋_GB2312"/>
          <w:i w:val="0"/>
          <w:caps w:val="0"/>
          <w:color w:val="000000"/>
          <w:spacing w:val="0"/>
          <w:sz w:val="32"/>
          <w:szCs w:val="32"/>
          <w:u w:val="none"/>
        </w:rPr>
        <w:t>进度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  <w:t>不一</w:t>
      </w:r>
      <w:r>
        <w:rPr>
          <w:rFonts w:hint="default" w:ascii="仿宋_GB2312" w:hAnsi="仿宋_GB2312" w:cs="仿宋_GB2312"/>
          <w:i w:val="0"/>
          <w:caps w:val="0"/>
          <w:color w:val="000000"/>
          <w:spacing w:val="0"/>
          <w:sz w:val="32"/>
          <w:szCs w:val="32"/>
          <w:u w:val="none"/>
        </w:rPr>
        <w:t>的情况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  <w:t>，</w:t>
      </w:r>
      <w:r>
        <w:rPr>
          <w:rFonts w:hint="default" w:ascii="仿宋_GB2312" w:hAnsi="仿宋_GB2312" w:cs="仿宋_GB2312"/>
          <w:i w:val="0"/>
          <w:caps w:val="0"/>
          <w:color w:val="000000"/>
          <w:spacing w:val="0"/>
          <w:sz w:val="32"/>
          <w:szCs w:val="32"/>
          <w:u w:val="none"/>
        </w:rPr>
        <w:t>年初制定的工作推进方案受多因素影响，产生与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  <w:t>项目</w:t>
      </w:r>
      <w:r>
        <w:rPr>
          <w:rFonts w:hint="default" w:ascii="仿宋_GB2312" w:hAnsi="仿宋_GB2312" w:cs="仿宋_GB2312"/>
          <w:i w:val="0"/>
          <w:caps w:val="0"/>
          <w:color w:val="000000"/>
          <w:spacing w:val="0"/>
          <w:sz w:val="32"/>
          <w:szCs w:val="32"/>
          <w:u w:val="none"/>
        </w:rPr>
        <w:t>实际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  <w:t>实施</w:t>
      </w:r>
      <w:r>
        <w:rPr>
          <w:rFonts w:hint="default" w:ascii="仿宋_GB2312" w:hAnsi="仿宋_GB2312" w:cs="仿宋_GB2312"/>
          <w:i w:val="0"/>
          <w:caps w:val="0"/>
          <w:color w:val="000000"/>
          <w:spacing w:val="0"/>
          <w:sz w:val="32"/>
          <w:szCs w:val="32"/>
          <w:u w:val="none"/>
        </w:rPr>
        <w:t>计划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  <w:t>进度</w:t>
      </w:r>
      <w:r>
        <w:rPr>
          <w:rFonts w:hint="default" w:ascii="仿宋_GB2312" w:hAnsi="仿宋_GB2312" w:cs="仿宋_GB2312"/>
          <w:i w:val="0"/>
          <w:caps w:val="0"/>
          <w:color w:val="000000"/>
          <w:spacing w:val="0"/>
          <w:sz w:val="32"/>
          <w:szCs w:val="32"/>
          <w:u w:val="none"/>
        </w:rPr>
        <w:t>偏离，进而导致支出计划与实际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  <w:t>预算支出时间、支出方向、支出比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例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  <w:t>及的影响</w:t>
      </w:r>
      <w:r>
        <w:rPr>
          <w:rFonts w:hint="default" w:ascii="仿宋_GB2312" w:hAnsi="仿宋_GB2312" w:cs="仿宋_GB2312"/>
          <w:i w:val="0"/>
          <w:caps w:val="0"/>
          <w:color w:val="000000"/>
          <w:spacing w:val="0"/>
          <w:sz w:val="32"/>
          <w:szCs w:val="32"/>
          <w:u w:val="none"/>
        </w:rPr>
        <w:t>。因此，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  <w:t>有些项目在预算执行进度上还无法</w:t>
      </w:r>
      <w:r>
        <w:rPr>
          <w:rFonts w:hint="default" w:ascii="仿宋_GB2312" w:hAnsi="仿宋_GB2312" w:cs="仿宋_GB2312"/>
          <w:i w:val="0"/>
          <w:caps w:val="0"/>
          <w:color w:val="000000"/>
          <w:spacing w:val="0"/>
          <w:sz w:val="32"/>
          <w:szCs w:val="32"/>
          <w:u w:val="none"/>
        </w:rPr>
        <w:t>与考核时间节点同步。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323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u w:val="none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.由于街道工作的突发性</w:t>
      </w:r>
      <w:r>
        <w:rPr>
          <w:rFonts w:hint="default" w:ascii="仿宋_GB2312" w:hAnsi="仿宋_GB2312" w:cs="仿宋_GB2312"/>
          <w:kern w:val="2"/>
          <w:sz w:val="32"/>
          <w:szCs w:val="32"/>
          <w:lang w:eastAsia="zh-CN" w:bidi="ar-SA"/>
        </w:rPr>
        <w:t>较多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_GB2312" w:cs="仿宋_GB2312"/>
          <w:kern w:val="2"/>
          <w:sz w:val="32"/>
          <w:szCs w:val="32"/>
          <w:lang w:eastAsia="zh-CN" w:bidi="ar-SA"/>
        </w:rPr>
        <w:t>上级部门年中下派工作任务时并未对配套资金全面考虑，一般由街道自行解决。因此，街道职能部门年初预算根据往年工作经验，会安排些应对临时突发资金。因此，与预计工作内容变化较大的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工作经费</w:t>
      </w:r>
      <w:r>
        <w:rPr>
          <w:rFonts w:hint="default" w:ascii="仿宋_GB2312" w:hAnsi="仿宋_GB2312" w:cs="仿宋_GB2312"/>
          <w:kern w:val="2"/>
          <w:sz w:val="32"/>
          <w:szCs w:val="32"/>
          <w:lang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需要在年度中进行预算支出方向调整，</w:t>
      </w:r>
      <w:r>
        <w:rPr>
          <w:rFonts w:hint="default" w:ascii="仿宋_GB2312" w:hAnsi="仿宋_GB2312" w:cs="仿宋_GB2312"/>
          <w:kern w:val="2"/>
          <w:sz w:val="32"/>
          <w:szCs w:val="32"/>
          <w:lang w:eastAsia="zh-CN" w:bidi="ar-SA"/>
        </w:rPr>
        <w:t>存在部分项目资金闲置，部分项目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资金延时到位的情况。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部分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财政实</w:t>
      </w:r>
      <w:r>
        <w:rPr>
          <w:rFonts w:hint="eastAsia" w:ascii="仿宋_GB2312" w:hAnsi="仿宋_GB2312" w:eastAsia="仿宋_GB2312" w:cs="仿宋_GB2312"/>
          <w:sz w:val="32"/>
          <w:szCs w:val="32"/>
        </w:rPr>
        <w:t>际预算执行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与年初工作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编制预算项目</w:t>
      </w:r>
      <w:r>
        <w:rPr>
          <w:rFonts w:hint="default" w:ascii="仿宋_GB2312" w:hAnsi="仿宋_GB2312" w:cs="仿宋_GB2312"/>
          <w:sz w:val="32"/>
          <w:szCs w:val="32"/>
          <w:lang w:eastAsia="zh-CN"/>
        </w:rPr>
        <w:t>申报资料</w:t>
      </w:r>
      <w:r>
        <w:rPr>
          <w:rFonts w:hint="eastAsia" w:ascii="仿宋_GB2312" w:hAnsi="仿宋_GB2312" w:eastAsia="仿宋_GB2312" w:cs="仿宋_GB2312"/>
          <w:sz w:val="32"/>
          <w:szCs w:val="32"/>
        </w:rPr>
        <w:t>存在一定差异</w:t>
      </w:r>
      <w:r>
        <w:rPr>
          <w:rFonts w:hint="default" w:ascii="仿宋_GB2312" w:hAnsi="仿宋_GB2312" w:cs="仿宋_GB2312"/>
          <w:sz w:val="32"/>
          <w:szCs w:val="32"/>
        </w:rPr>
        <w:t>。绩效目标设定思路不清晰，</w:t>
      </w:r>
      <w:r>
        <w:rPr>
          <w:rFonts w:hint="eastAsia" w:ascii="仿宋_GB2312" w:hAnsi="仿宋_GB2312" w:eastAsia="仿宋_GB2312" w:cs="仿宋_GB2312"/>
          <w:sz w:val="32"/>
          <w:szCs w:val="32"/>
        </w:rPr>
        <w:t>缺乏对</w:t>
      </w:r>
      <w:r>
        <w:rPr>
          <w:rFonts w:hint="default" w:ascii="仿宋_GB2312" w:hAnsi="仿宋_GB2312" w:cs="仿宋_GB2312"/>
          <w:sz w:val="32"/>
          <w:szCs w:val="32"/>
        </w:rPr>
        <w:t>资金与实际工作结合的</w:t>
      </w:r>
      <w:r>
        <w:rPr>
          <w:rFonts w:hint="eastAsia" w:ascii="仿宋_GB2312" w:hAnsi="仿宋_GB2312" w:eastAsia="仿宋_GB2312" w:cs="仿宋_GB2312"/>
          <w:sz w:val="32"/>
          <w:szCs w:val="32"/>
        </w:rPr>
        <w:t>因素考虑，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无法较为准确</w:t>
      </w:r>
      <w:r>
        <w:rPr>
          <w:rFonts w:hint="default" w:ascii="仿宋_GB2312" w:hAnsi="仿宋_GB2312" w:cs="仿宋_GB2312"/>
          <w:sz w:val="32"/>
          <w:szCs w:val="32"/>
          <w:lang w:eastAsia="zh-CN"/>
        </w:rPr>
        <w:t>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把握财政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预算项目</w:t>
      </w:r>
      <w:r>
        <w:rPr>
          <w:rFonts w:hint="default" w:ascii="仿宋_GB2312" w:hAnsi="仿宋_GB2312" w:cs="仿宋_GB2312"/>
          <w:sz w:val="32"/>
          <w:szCs w:val="32"/>
        </w:rPr>
        <w:t>所需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金额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四、预计社会效益实现情况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rPr>
          <w:rFonts w:ascii="仿宋_GB2312" w:hAnsi="宋体" w:cs="宋体"/>
          <w:sz w:val="32"/>
          <w:szCs w:val="32"/>
        </w:rPr>
      </w:pPr>
      <w:r>
        <w:rPr>
          <w:rFonts w:ascii="仿宋_GB2312" w:hAnsi="宋体" w:cs="宋体"/>
          <w:sz w:val="32"/>
          <w:szCs w:val="32"/>
        </w:rPr>
        <w:t>跟踪的</w:t>
      </w:r>
      <w:r>
        <w:rPr>
          <w:rFonts w:hint="eastAsia" w:ascii="仿宋_GB2312" w:hAnsi="宋体" w:cs="宋体"/>
          <w:sz w:val="32"/>
          <w:szCs w:val="32"/>
        </w:rPr>
        <w:t>24个项目中，除7个项目实施进度较慢外，17个项目实施良好，取得了一定的社会效益。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ascii="仿宋_GB2312" w:hAnsi="宋体" w:cs="宋体"/>
          <w:sz w:val="32"/>
          <w:szCs w:val="32"/>
        </w:rPr>
      </w:pPr>
      <w:r>
        <w:rPr>
          <w:rFonts w:hint="eastAsia" w:ascii="仿宋_GB2312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社区建设方面。</w:t>
      </w:r>
      <w:r>
        <w:rPr>
          <w:rFonts w:hint="eastAsia" w:ascii="仿宋_GB2312" w:eastAsia="仿宋_GB2312"/>
          <w:sz w:val="32"/>
          <w:szCs w:val="32"/>
        </w:rPr>
        <w:t>社区分层参与型协商机制和民生工作民意立项机制有效结合</w:t>
      </w:r>
      <w:r>
        <w:rPr>
          <w:rFonts w:hint="eastAsia" w:ascii="仿宋_GB2312" w:eastAsia="仿宋_GB2312"/>
          <w:sz w:val="32"/>
          <w:szCs w:val="32"/>
          <w:lang w:eastAsia="zh-CN"/>
        </w:rPr>
        <w:t>，落实</w:t>
      </w:r>
      <w:r>
        <w:rPr>
          <w:rFonts w:hint="eastAsia" w:ascii="仿宋_GB2312" w:eastAsia="仿宋_GB2312"/>
          <w:sz w:val="32"/>
          <w:szCs w:val="32"/>
        </w:rPr>
        <w:t>“吹哨报</w:t>
      </w:r>
      <w:r>
        <w:rPr>
          <w:rFonts w:hint="eastAsia" w:ascii="仿宋_GB2312" w:eastAsia="仿宋_GB2312"/>
          <w:sz w:val="32"/>
          <w:szCs w:val="32"/>
          <w:lang w:eastAsia="zh-CN"/>
        </w:rPr>
        <w:t>到</w:t>
      </w:r>
      <w:r>
        <w:rPr>
          <w:rFonts w:hint="eastAsia" w:ascii="仿宋_GB2312" w:eastAsia="仿宋_GB2312"/>
          <w:sz w:val="32"/>
          <w:szCs w:val="32"/>
        </w:rPr>
        <w:t>”“民生工作民意立项”“街道、社区、网格、楼门院四层协商议事”等工作机制，形成“参与型”社区分层协商治理模式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各</w:t>
      </w:r>
      <w:r>
        <w:rPr>
          <w:rFonts w:hint="eastAsia" w:ascii="仿宋_GB2312" w:eastAsia="仿宋_GB2312"/>
          <w:b w:val="0"/>
          <w:bCs/>
          <w:sz w:val="32"/>
          <w:szCs w:val="32"/>
        </w:rPr>
        <w:t>社区开</w:t>
      </w:r>
      <w:r>
        <w:rPr>
          <w:rFonts w:hint="eastAsia" w:ascii="仿宋_GB2312" w:eastAsia="仿宋_GB2312"/>
          <w:sz w:val="32"/>
          <w:szCs w:val="32"/>
        </w:rPr>
        <w:t>展协商活动380余次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b w:val="0"/>
          <w:bCs/>
          <w:sz w:val="32"/>
          <w:szCs w:val="32"/>
        </w:rPr>
        <w:t>制定民生工作民意立项工作手册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，打造了</w:t>
      </w:r>
      <w:r>
        <w:rPr>
          <w:rFonts w:hint="eastAsia" w:ascii="仿宋_GB2312" w:eastAsia="仿宋_GB2312"/>
          <w:b w:val="0"/>
          <w:bCs/>
          <w:sz w:val="32"/>
          <w:szCs w:val="32"/>
        </w:rPr>
        <w:t>建功南里社区养老服务驿站建设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和</w:t>
      </w:r>
      <w:r>
        <w:rPr>
          <w:rFonts w:hint="eastAsia" w:ascii="仿宋_GB2312" w:eastAsia="仿宋_GB2312"/>
          <w:b w:val="0"/>
          <w:bCs/>
          <w:sz w:val="32"/>
          <w:szCs w:val="32"/>
        </w:rPr>
        <w:t>樱桃头条环境提升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两个</w:t>
      </w:r>
      <w:r>
        <w:rPr>
          <w:rFonts w:hint="eastAsia" w:ascii="仿宋_GB2312" w:eastAsia="仿宋_GB2312"/>
          <w:b w:val="0"/>
          <w:bCs/>
          <w:sz w:val="32"/>
          <w:szCs w:val="32"/>
        </w:rPr>
        <w:t>民意立项试点项目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eastAsia="zh-CN"/>
        </w:rPr>
        <w:t>打造“凝聚社会治理力量、传递红窗共建精神”的邻里会客厅，不断推进窗帘约定项目发展，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促成</w:t>
      </w:r>
      <w:r>
        <w:rPr>
          <w:rFonts w:hint="eastAsia"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0对志愿帮扶结对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为空巢老人和残疾人等特殊群体提供帮扶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ascii="仿宋_GB2312"/>
          <w:color w:val="417FF9"/>
          <w:sz w:val="32"/>
          <w:szCs w:val="32"/>
        </w:rPr>
      </w:pPr>
      <w:r>
        <w:rPr>
          <w:rFonts w:hint="eastAsia" w:ascii="仿宋_GB2312" w:hAnsi="宋体" w:cs="宋体"/>
          <w:sz w:val="32"/>
          <w:szCs w:val="32"/>
        </w:rPr>
        <w:t>2</w:t>
      </w:r>
      <w:r>
        <w:rPr>
          <w:rFonts w:hint="eastAsia" w:ascii="仿宋_GB2312" w:hAnsi="宋体" w:cs="宋体"/>
          <w:sz w:val="32"/>
          <w:szCs w:val="32"/>
          <w:lang w:eastAsia="zh-CN"/>
        </w:rPr>
        <w:t>.</w:t>
      </w:r>
      <w:r>
        <w:rPr>
          <w:rFonts w:hint="eastAsia" w:ascii="仿宋_GB2312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城市建设及环境保障方面。</w:t>
      </w:r>
      <w:r>
        <w:rPr>
          <w:rFonts w:hint="eastAsia" w:ascii="仿宋_GB2312" w:eastAsia="仿宋_GB2312"/>
          <w:sz w:val="32"/>
          <w:szCs w:val="32"/>
          <w:lang w:eastAsia="zh-CN"/>
        </w:rPr>
        <w:t>开展</w:t>
      </w:r>
      <w:r>
        <w:rPr>
          <w:rFonts w:hint="eastAsia" w:ascii="仿宋_GB2312" w:eastAsia="仿宋_GB2312"/>
          <w:sz w:val="32"/>
          <w:szCs w:val="32"/>
        </w:rPr>
        <w:t>“疏解整治促提升”专项行动，</w:t>
      </w:r>
      <w:r>
        <w:rPr>
          <w:rFonts w:hint="eastAsia" w:ascii="仿宋_GB2312" w:hAnsi="仿宋_GB2312" w:eastAsia="仿宋_GB2312" w:cs="仿宋_GB2312"/>
          <w:sz w:val="32"/>
          <w:szCs w:val="32"/>
        </w:rPr>
        <w:t>清理违法群租房32处，治理“开墙打洞”29处，拆除违建283处7180平方米；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利用拆违整治腾退空间，“留白增绿”1240平方米，建成崇效胡同、樱桃头条口袋公园2处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万博苑社区被评为全区唯一一家首都花园式社区，辖区内区卫计委被评为全区唯一一家市级花园式单位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加强餐饮油烟减排专项工作，督促重点区域内的餐饮单位自主更换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统筹推进垃圾分类工作，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率先引进大件垃圾处理设备，</w:t>
      </w:r>
      <w:r>
        <w:rPr>
          <w:rFonts w:hint="eastAsia" w:ascii="仿宋_GB2312" w:eastAsia="仿宋_GB2312"/>
          <w:sz w:val="32"/>
          <w:szCs w:val="32"/>
        </w:rPr>
        <w:t>实现资源回收再利用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ascii="仿宋_GB2312"/>
          <w:color w:val="417FF9"/>
          <w:sz w:val="32"/>
          <w:szCs w:val="32"/>
        </w:rPr>
      </w:pPr>
      <w:r>
        <w:rPr>
          <w:rFonts w:hint="eastAsia" w:ascii="仿宋_GB2312"/>
          <w:sz w:val="32"/>
          <w:szCs w:val="32"/>
        </w:rPr>
        <w:t>3</w:t>
      </w:r>
      <w:r>
        <w:rPr>
          <w:rFonts w:hint="eastAsia" w:ascii="仿宋_GB2312"/>
          <w:sz w:val="32"/>
          <w:szCs w:val="32"/>
          <w:lang w:eastAsia="zh-CN"/>
        </w:rPr>
        <w:t>.</w:t>
      </w:r>
      <w:r>
        <w:rPr>
          <w:rFonts w:hint="eastAsia" w:ascii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党群工作方面。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建立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白纸坊“微发布”社会沟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通体系，发挥《白纸坊》报、政务微信、微博宣传阵地作用，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加强政民沟通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通过北京市政府信息公开专栏发布街道各类信息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2215条，</w:t>
      </w:r>
      <w:r>
        <w:rPr>
          <w:rFonts w:hint="eastAsia" w:ascii="仿宋_GB2312" w:eastAsia="仿宋_GB2312"/>
          <w:sz w:val="32"/>
          <w:szCs w:val="32"/>
        </w:rPr>
        <w:t>通过“坊间微发布”“热线会客厅”向居民群众通报情况2536次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邀请北京</w:t>
      </w:r>
      <w:r>
        <w:rPr>
          <w:rFonts w:hint="eastAsia" w:ascii="仿宋_GB2312" w:hAnsi="仿宋_GB2312" w:eastAsia="仿宋_GB2312" w:cs="仿宋_GB2312"/>
          <w:sz w:val="32"/>
          <w:szCs w:val="32"/>
        </w:rPr>
        <w:t>日报等对重点及特色工作进行宣传报道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181</w:t>
      </w:r>
      <w:r>
        <w:rPr>
          <w:rFonts w:hint="eastAsia" w:ascii="仿宋_GB2312" w:hAnsi="仿宋_GB2312" w:eastAsia="仿宋_GB2312" w:cs="仿宋_GB2312"/>
          <w:sz w:val="32"/>
          <w:szCs w:val="32"/>
        </w:rPr>
        <w:t>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北京电视台“向前一步”右内西街甲</w:t>
      </w:r>
      <w:r>
        <w:rPr>
          <w:rFonts w:hint="eastAsia" w:ascii="仿宋_GB2312" w:hAnsi="仿宋_GB2312" w:eastAsia="仿宋_GB2312" w:cs="仿宋_GB2312"/>
          <w:sz w:val="32"/>
          <w:szCs w:val="32"/>
        </w:rPr>
        <w:t>10号院环境整治节目的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录制，为老旧小区环境整治，发挥了积极</w:t>
      </w:r>
      <w:r>
        <w:rPr>
          <w:rFonts w:hint="eastAsia" w:ascii="仿宋_GB2312" w:hAnsi="仿宋_GB2312" w:eastAsia="仿宋_GB2312" w:cs="仿宋_GB2312"/>
          <w:sz w:val="32"/>
          <w:szCs w:val="32"/>
        </w:rPr>
        <w:t>正面导向作用。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成立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街道退役军人服务站及19个社区退役军人服务站，发放、悬挂光荣牌4282块，发放率全区排名第一。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rPr>
          <w:rFonts w:hint="eastAsia" w:ascii="仿宋_GB2312" w:eastAsia="仿宋_GB2312"/>
          <w:color w:val="417FF9"/>
          <w:sz w:val="32"/>
          <w:szCs w:val="32"/>
          <w:lang w:eastAsia="zh-CN"/>
        </w:rPr>
      </w:pPr>
      <w:r>
        <w:rPr>
          <w:rFonts w:hint="eastAsia" w:ascii="仿宋_GB2312"/>
          <w:sz w:val="32"/>
          <w:szCs w:val="32"/>
        </w:rPr>
        <w:t>4</w:t>
      </w:r>
      <w:r>
        <w:rPr>
          <w:rFonts w:hint="eastAsia" w:ascii="仿宋_GB2312"/>
          <w:sz w:val="32"/>
          <w:szCs w:val="32"/>
          <w:lang w:eastAsia="zh-CN"/>
        </w:rPr>
        <w:t>.</w:t>
      </w:r>
      <w:r>
        <w:rPr>
          <w:rFonts w:hint="eastAsia" w:ascii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平安建设方面。</w:t>
      </w:r>
      <w:r>
        <w:rPr>
          <w:rFonts w:hint="eastAsia" w:ascii="仿宋_GB2312" w:hAnsi="仿宋_GB2312" w:eastAsia="仿宋_GB2312" w:cs="仿宋_GB2312"/>
          <w:sz w:val="32"/>
          <w:szCs w:val="32"/>
        </w:rPr>
        <w:t>投入群防群治力量1万余人次，点对点盯守298处安全风险点，圆满完成70周年庆祝活动服务保障工作。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加强安全防控体系建设，</w:t>
      </w:r>
      <w:r>
        <w:rPr>
          <w:rFonts w:hint="eastAsia" w:ascii="仿宋_GB2312" w:eastAsia="仿宋_GB2312"/>
          <w:sz w:val="32"/>
          <w:szCs w:val="32"/>
        </w:rPr>
        <w:t>深化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“扫黑除恶”专项斗争，对黑摩的乱点进行了专项治理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建立消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eastAsia="zh-CN"/>
        </w:rPr>
        <w:t>防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秒响应机制，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增建</w:t>
      </w:r>
      <w:r>
        <w:rPr>
          <w:rFonts w:hint="eastAsia" w:ascii="仿宋_GB2312" w:hAnsi="仿宋_GB2312" w:eastAsia="仿宋_GB2312" w:cs="仿宋_GB2312"/>
          <w:sz w:val="32"/>
          <w:szCs w:val="32"/>
        </w:rPr>
        <w:t>半步桥小型消防站，设置60个巡更点，12辆巡逻车全天候不间断巡查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为500户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eastAsia="zh-CN"/>
        </w:rPr>
        <w:t>居民更换防盗门安全锁芯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/>
        </w:rPr>
        <w:t>，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eastAsia="zh-CN"/>
        </w:rPr>
        <w:t>新增电动自行车公共充电桩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/>
        </w:rPr>
        <w:t>15处34组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为地区生产经营单位</w:t>
      </w:r>
      <w:r>
        <w:rPr>
          <w:rFonts w:hint="eastAsia" w:ascii="仿宋_GB2312" w:eastAsia="仿宋_GB2312"/>
          <w:sz w:val="32"/>
          <w:szCs w:val="32"/>
          <w:lang w:eastAsia="zh-CN"/>
        </w:rPr>
        <w:t>发放</w:t>
      </w:r>
      <w:r>
        <w:rPr>
          <w:rFonts w:hint="eastAsia" w:ascii="仿宋_GB2312" w:eastAsia="仿宋_GB2312"/>
          <w:sz w:val="32"/>
          <w:szCs w:val="32"/>
        </w:rPr>
        <w:t>门阻报警器1000个</w:t>
      </w:r>
      <w:r>
        <w:rPr>
          <w:rFonts w:hint="eastAsia" w:ascii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rPr>
          <w:rFonts w:ascii="仿宋_GB2312"/>
          <w:color w:val="417FF9"/>
          <w:sz w:val="32"/>
          <w:szCs w:val="32"/>
        </w:rPr>
      </w:pPr>
      <w:r>
        <w:rPr>
          <w:rFonts w:hint="eastAsia" w:ascii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民生保障方面。</w:t>
      </w:r>
      <w:r>
        <w:rPr>
          <w:rFonts w:hint="eastAsia" w:ascii="仿宋_GB2312" w:hAnsi="仿宋_GB2312" w:eastAsia="仿宋_GB2312" w:cs="仿宋_GB2312"/>
          <w:sz w:val="32"/>
          <w:szCs w:val="32"/>
        </w:rPr>
        <w:t>依托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困难群众救助服务所，实现精准救助各类人群全覆盖，</w:t>
      </w:r>
      <w:r>
        <w:rPr>
          <w:rFonts w:hint="eastAsia" w:ascii="仿宋_GB2312" w:hAnsi="仿宋_GB2312" w:eastAsia="仿宋_GB2312" w:cs="仿宋_GB2312"/>
          <w:sz w:val="32"/>
          <w:szCs w:val="32"/>
        </w:rPr>
        <w:t>接待、走访困难群众439人次；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打造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就业联盟平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台，完成就业人数1477人，被评为充分就业街道。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南横西街92号原旧煤厂改造成了集多功能活动室、阅览室、阳光大厅、后花园为一体的金泰颐寿轩养老照料中心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，建成了</w:t>
      </w:r>
      <w:r>
        <w:rPr>
          <w:rFonts w:hint="eastAsia" w:ascii="仿宋_GB2312" w:hAnsi="仿宋_GB2312" w:eastAsia="仿宋_GB2312" w:cs="仿宋_GB2312"/>
          <w:sz w:val="32"/>
          <w:szCs w:val="32"/>
        </w:rPr>
        <w:t>宁心园餐厅、清芷园老年餐吧、宁心园养老照料中心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家养老餐桌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基本实现19个社区养老服务全覆盖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五、意见和建议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逐步精细预算管理，提高财政资金使用效率，实时进行预算跟踪管理，在保障项目顺利实施的前提下，进一步推进预算精细化的管理理念，根据项目实际情况及时调整预算，提高预算执行率，减少资金占用成本，提高财政资金使用效率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2</w:t>
      </w:r>
      <w:r>
        <w:rPr>
          <w:rFonts w:hint="eastAsia" w:ascii="仿宋_GB2312" w:hAnsi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严格按照财政要求，做到支出明细化，将每项支出内容明细化到具体的数量(工作量)、单价、支出总额、资金来源等；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3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666666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cs="仿宋_GB2312"/>
          <w:i w:val="0"/>
          <w:caps w:val="0"/>
          <w:color w:val="555555"/>
          <w:spacing w:val="0"/>
          <w:sz w:val="32"/>
          <w:szCs w:val="32"/>
          <w:u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u w:val="none"/>
        </w:rPr>
        <w:t>加强宣传培训，提高办事处各部门的预算绩效意识。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加强业务培训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加大预算绩效管理基础理论和事务操作统一培训力度，进一步加强理论研究，对绩效评价的范围、方法等进行探索，形成理论和实践互为促进的良好局面。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cs="仿宋_GB2312"/>
          <w:i w:val="0"/>
          <w:caps w:val="0"/>
          <w:color w:val="191919"/>
          <w:spacing w:val="0"/>
          <w:sz w:val="32"/>
          <w:szCs w:val="32"/>
          <w:u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u w:val="none"/>
        </w:rPr>
        <w:t>建立绩效目标监控机制，及时掌握绩效目标阶段性完成结果，及时纠正偏差。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六、其他需要说明的问题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rPr>
          <w:rFonts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rPr>
          <w:rFonts w:hint="eastAsia" w:ascii="仿宋_GB2312" w:hAnsi="宋体" w:cs="宋体"/>
          <w:sz w:val="32"/>
          <w:szCs w:val="32"/>
        </w:rPr>
      </w:pPr>
      <w:r>
        <w:rPr>
          <w:rFonts w:hint="eastAsia" w:ascii="仿宋_GB2312" w:hAnsi="宋体" w:cs="宋体"/>
          <w:sz w:val="32"/>
          <w:szCs w:val="32"/>
        </w:rPr>
        <w:t>附件：西城区区级项目支出绩效跟踪分析表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rPr>
          <w:rFonts w:hint="eastAsia" w:ascii="仿宋_GB2312" w:hAnsi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rPr>
          <w:rFonts w:hint="eastAsia" w:ascii="仿宋_GB2312" w:hAnsi="宋体" w:cs="宋体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sz w:val="32"/>
          <w:szCs w:val="32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rPr>
          <w:rFonts w:hint="eastAsia" w:ascii="仿宋_GB2312" w:hAnsi="宋体" w:cs="宋体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sz w:val="32"/>
          <w:szCs w:val="32"/>
          <w:lang w:val="en-US" w:eastAsia="zh-CN"/>
        </w:rPr>
        <w:pict>
          <v:shape id="_x0000_s1027" o:spid="_x0000_s1027" o:spt="201" type="#_x0000_t201" style="position:absolute;left:0pt;margin-left:304.1pt;margin-top:432.55pt;height:116.25pt;width:112.5pt;mso-position-horizontal-relative:page;mso-position-vertical-relative:page;z-index:251659264;mso-width-relative:page;mso-height-relative:page;" o:ole="t" filled="f" o:preferrelative="t" stroked="f" coordsize="21600,21600">
            <v:path/>
            <v:fill on="f" focussize="0,0"/>
            <v:stroke on="f"/>
            <v:imagedata r:id="rId11" o:title=""/>
            <o:lock v:ext="edit" aspectratio="f"/>
          </v:shape>
          <w:control r:id="rId12" w:name="BJCAWordSign2" w:shapeid="_x0000_s1027"/>
        </w:pi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2560" w:firstLineChars="800"/>
        <w:textAlignment w:val="auto"/>
        <w:rPr>
          <w:rFonts w:hint="eastAsia" w:ascii="仿宋_GB2312" w:hAnsi="宋体" w:cs="宋体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sz w:val="32"/>
          <w:szCs w:val="32"/>
          <w:lang w:val="en-US" w:eastAsia="zh-CN"/>
        </w:rPr>
        <w:t xml:space="preserve"> 北京市西城区人民政府白纸坊街道办事处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160" w:firstLineChars="1300"/>
        <w:jc w:val="left"/>
        <w:textAlignment w:val="auto"/>
        <w:rPr>
          <w:rFonts w:hint="default" w:ascii="仿宋_GB2312" w:hAnsi="宋体" w:cs="宋体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sz w:val="32"/>
          <w:szCs w:val="32"/>
          <w:lang w:val="en-US" w:eastAsia="zh-CN"/>
        </w:rPr>
        <w:t>2020年1月8日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textAlignment w:val="auto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850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26611059"/>
      <w:docPartObj>
        <w:docPartGallery w:val="autotext"/>
      </w:docPartObj>
    </w:sdtPr>
    <w:sdtContent>
      <w:p>
        <w:pPr>
          <w:pStyle w:val="4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4"/>
      <w:ind w:firstLineChars="1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bALYG7PQEdaYGGiSE8hETqu8bO4=" w:salt="lCDKscaRfiwBE9SVE38qAw==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FD2"/>
    <w:rsid w:val="00001D97"/>
    <w:rsid w:val="0002609B"/>
    <w:rsid w:val="00031745"/>
    <w:rsid w:val="00050C30"/>
    <w:rsid w:val="000560A1"/>
    <w:rsid w:val="00065BFA"/>
    <w:rsid w:val="00093209"/>
    <w:rsid w:val="000932FD"/>
    <w:rsid w:val="00094D65"/>
    <w:rsid w:val="000A4DC9"/>
    <w:rsid w:val="000B3024"/>
    <w:rsid w:val="000B31B7"/>
    <w:rsid w:val="000C08A1"/>
    <w:rsid w:val="000C25D0"/>
    <w:rsid w:val="000D51D3"/>
    <w:rsid w:val="000E0F1F"/>
    <w:rsid w:val="000E286F"/>
    <w:rsid w:val="000E3356"/>
    <w:rsid w:val="000E62E0"/>
    <w:rsid w:val="000F0238"/>
    <w:rsid w:val="0011598E"/>
    <w:rsid w:val="00124186"/>
    <w:rsid w:val="0012529B"/>
    <w:rsid w:val="0012712E"/>
    <w:rsid w:val="0012787E"/>
    <w:rsid w:val="00127920"/>
    <w:rsid w:val="00130F3E"/>
    <w:rsid w:val="00136A02"/>
    <w:rsid w:val="00140BCD"/>
    <w:rsid w:val="00152880"/>
    <w:rsid w:val="00167B1E"/>
    <w:rsid w:val="00186267"/>
    <w:rsid w:val="00191953"/>
    <w:rsid w:val="001A13BA"/>
    <w:rsid w:val="001A678A"/>
    <w:rsid w:val="001B680D"/>
    <w:rsid w:val="001B7C3A"/>
    <w:rsid w:val="001C6BC7"/>
    <w:rsid w:val="001E2B65"/>
    <w:rsid w:val="00201B8A"/>
    <w:rsid w:val="002067C6"/>
    <w:rsid w:val="00212B5A"/>
    <w:rsid w:val="00212FD2"/>
    <w:rsid w:val="00216F87"/>
    <w:rsid w:val="00231680"/>
    <w:rsid w:val="00244149"/>
    <w:rsid w:val="0025481C"/>
    <w:rsid w:val="0025616F"/>
    <w:rsid w:val="00265033"/>
    <w:rsid w:val="00271639"/>
    <w:rsid w:val="00274978"/>
    <w:rsid w:val="002752BA"/>
    <w:rsid w:val="002B5513"/>
    <w:rsid w:val="002C305D"/>
    <w:rsid w:val="002D1622"/>
    <w:rsid w:val="002D1CFA"/>
    <w:rsid w:val="002D33F5"/>
    <w:rsid w:val="002D6BE1"/>
    <w:rsid w:val="002E0F63"/>
    <w:rsid w:val="002E74BE"/>
    <w:rsid w:val="00302104"/>
    <w:rsid w:val="00327E13"/>
    <w:rsid w:val="00336878"/>
    <w:rsid w:val="0034163D"/>
    <w:rsid w:val="003461E5"/>
    <w:rsid w:val="003466E8"/>
    <w:rsid w:val="00352A65"/>
    <w:rsid w:val="003570E9"/>
    <w:rsid w:val="00362653"/>
    <w:rsid w:val="00384F75"/>
    <w:rsid w:val="00385473"/>
    <w:rsid w:val="003915CB"/>
    <w:rsid w:val="003A65C9"/>
    <w:rsid w:val="003A7BC8"/>
    <w:rsid w:val="003B345F"/>
    <w:rsid w:val="003C71CF"/>
    <w:rsid w:val="003C7E9D"/>
    <w:rsid w:val="003D7B32"/>
    <w:rsid w:val="003D7EF3"/>
    <w:rsid w:val="003E31D4"/>
    <w:rsid w:val="003E7980"/>
    <w:rsid w:val="0040040E"/>
    <w:rsid w:val="00401148"/>
    <w:rsid w:val="00404A7B"/>
    <w:rsid w:val="004055EF"/>
    <w:rsid w:val="004176DF"/>
    <w:rsid w:val="0042336D"/>
    <w:rsid w:val="004333DD"/>
    <w:rsid w:val="0043796F"/>
    <w:rsid w:val="00440C79"/>
    <w:rsid w:val="00450E11"/>
    <w:rsid w:val="0045148A"/>
    <w:rsid w:val="004637E7"/>
    <w:rsid w:val="004654C9"/>
    <w:rsid w:val="004754B8"/>
    <w:rsid w:val="004762DA"/>
    <w:rsid w:val="00480FB0"/>
    <w:rsid w:val="00496741"/>
    <w:rsid w:val="004A75D6"/>
    <w:rsid w:val="004C2CF8"/>
    <w:rsid w:val="004E6EC0"/>
    <w:rsid w:val="005036FE"/>
    <w:rsid w:val="00521029"/>
    <w:rsid w:val="005237F1"/>
    <w:rsid w:val="005416AE"/>
    <w:rsid w:val="005635B5"/>
    <w:rsid w:val="00564820"/>
    <w:rsid w:val="005657B7"/>
    <w:rsid w:val="00572451"/>
    <w:rsid w:val="00573847"/>
    <w:rsid w:val="0058326F"/>
    <w:rsid w:val="00585C26"/>
    <w:rsid w:val="005A1E9D"/>
    <w:rsid w:val="005C0974"/>
    <w:rsid w:val="005C2024"/>
    <w:rsid w:val="005E201F"/>
    <w:rsid w:val="005E6E5C"/>
    <w:rsid w:val="005F3DD9"/>
    <w:rsid w:val="006000B8"/>
    <w:rsid w:val="00610DE3"/>
    <w:rsid w:val="00625646"/>
    <w:rsid w:val="00627319"/>
    <w:rsid w:val="00631BCF"/>
    <w:rsid w:val="00632A5D"/>
    <w:rsid w:val="00664341"/>
    <w:rsid w:val="0067753F"/>
    <w:rsid w:val="00677ED9"/>
    <w:rsid w:val="00686F47"/>
    <w:rsid w:val="00692A53"/>
    <w:rsid w:val="00697D34"/>
    <w:rsid w:val="006A00AC"/>
    <w:rsid w:val="006A479B"/>
    <w:rsid w:val="006B2DAE"/>
    <w:rsid w:val="006D2C0E"/>
    <w:rsid w:val="006E5F88"/>
    <w:rsid w:val="00701515"/>
    <w:rsid w:val="00702086"/>
    <w:rsid w:val="00706D47"/>
    <w:rsid w:val="00711662"/>
    <w:rsid w:val="00716536"/>
    <w:rsid w:val="00716C7E"/>
    <w:rsid w:val="007172A7"/>
    <w:rsid w:val="00726B50"/>
    <w:rsid w:val="0074483E"/>
    <w:rsid w:val="0074673D"/>
    <w:rsid w:val="007558FC"/>
    <w:rsid w:val="0076170D"/>
    <w:rsid w:val="00761AF6"/>
    <w:rsid w:val="00784ECB"/>
    <w:rsid w:val="00794F2F"/>
    <w:rsid w:val="007D65BB"/>
    <w:rsid w:val="007E28C6"/>
    <w:rsid w:val="00812F67"/>
    <w:rsid w:val="00814661"/>
    <w:rsid w:val="00825861"/>
    <w:rsid w:val="0082625A"/>
    <w:rsid w:val="0083217D"/>
    <w:rsid w:val="00837A5D"/>
    <w:rsid w:val="00844666"/>
    <w:rsid w:val="0084693D"/>
    <w:rsid w:val="00886CDB"/>
    <w:rsid w:val="008907F9"/>
    <w:rsid w:val="008950F1"/>
    <w:rsid w:val="008B4FC9"/>
    <w:rsid w:val="008B69D2"/>
    <w:rsid w:val="008D1B13"/>
    <w:rsid w:val="008E6242"/>
    <w:rsid w:val="008F6968"/>
    <w:rsid w:val="008F784B"/>
    <w:rsid w:val="009020CB"/>
    <w:rsid w:val="009220DF"/>
    <w:rsid w:val="00936ED8"/>
    <w:rsid w:val="009461AF"/>
    <w:rsid w:val="00946815"/>
    <w:rsid w:val="00951914"/>
    <w:rsid w:val="00954B80"/>
    <w:rsid w:val="0095771B"/>
    <w:rsid w:val="00963ECE"/>
    <w:rsid w:val="00970E43"/>
    <w:rsid w:val="00974230"/>
    <w:rsid w:val="009816A4"/>
    <w:rsid w:val="00987BFA"/>
    <w:rsid w:val="009975CA"/>
    <w:rsid w:val="009B2B22"/>
    <w:rsid w:val="009B66B5"/>
    <w:rsid w:val="009D6A68"/>
    <w:rsid w:val="009F3077"/>
    <w:rsid w:val="00A0528F"/>
    <w:rsid w:val="00A13095"/>
    <w:rsid w:val="00A157B0"/>
    <w:rsid w:val="00A23BAE"/>
    <w:rsid w:val="00A368A7"/>
    <w:rsid w:val="00A44632"/>
    <w:rsid w:val="00A56E00"/>
    <w:rsid w:val="00A747D9"/>
    <w:rsid w:val="00AA137C"/>
    <w:rsid w:val="00AD2106"/>
    <w:rsid w:val="00AD2D55"/>
    <w:rsid w:val="00AD3328"/>
    <w:rsid w:val="00AD476D"/>
    <w:rsid w:val="00AE374E"/>
    <w:rsid w:val="00B05870"/>
    <w:rsid w:val="00B10CD3"/>
    <w:rsid w:val="00B11A2B"/>
    <w:rsid w:val="00B1641E"/>
    <w:rsid w:val="00B16642"/>
    <w:rsid w:val="00B1781D"/>
    <w:rsid w:val="00B26B60"/>
    <w:rsid w:val="00B321B0"/>
    <w:rsid w:val="00B613B6"/>
    <w:rsid w:val="00BA2028"/>
    <w:rsid w:val="00BA2072"/>
    <w:rsid w:val="00BA49B3"/>
    <w:rsid w:val="00BA7BD8"/>
    <w:rsid w:val="00BB2744"/>
    <w:rsid w:val="00BC668C"/>
    <w:rsid w:val="00BD230C"/>
    <w:rsid w:val="00BD4D33"/>
    <w:rsid w:val="00BD51DD"/>
    <w:rsid w:val="00BE09A0"/>
    <w:rsid w:val="00C05B16"/>
    <w:rsid w:val="00C061EC"/>
    <w:rsid w:val="00C122E6"/>
    <w:rsid w:val="00C24A2C"/>
    <w:rsid w:val="00C602C0"/>
    <w:rsid w:val="00C619DA"/>
    <w:rsid w:val="00C73F40"/>
    <w:rsid w:val="00C741D7"/>
    <w:rsid w:val="00C751C2"/>
    <w:rsid w:val="00C815AF"/>
    <w:rsid w:val="00C933D4"/>
    <w:rsid w:val="00C93BCE"/>
    <w:rsid w:val="00C95D3B"/>
    <w:rsid w:val="00C97136"/>
    <w:rsid w:val="00CA2E06"/>
    <w:rsid w:val="00CB0A1F"/>
    <w:rsid w:val="00CE2DED"/>
    <w:rsid w:val="00CE442D"/>
    <w:rsid w:val="00CE752F"/>
    <w:rsid w:val="00CF4FF2"/>
    <w:rsid w:val="00D55FE4"/>
    <w:rsid w:val="00D7465D"/>
    <w:rsid w:val="00D74C2A"/>
    <w:rsid w:val="00D91E49"/>
    <w:rsid w:val="00D930E9"/>
    <w:rsid w:val="00D97CA0"/>
    <w:rsid w:val="00DA36A5"/>
    <w:rsid w:val="00DA49C6"/>
    <w:rsid w:val="00DB3F51"/>
    <w:rsid w:val="00DB68A4"/>
    <w:rsid w:val="00DC1E4B"/>
    <w:rsid w:val="00DC6C38"/>
    <w:rsid w:val="00DF18C5"/>
    <w:rsid w:val="00E16F6B"/>
    <w:rsid w:val="00E27CDF"/>
    <w:rsid w:val="00E3003F"/>
    <w:rsid w:val="00E4167C"/>
    <w:rsid w:val="00E667A7"/>
    <w:rsid w:val="00E7582A"/>
    <w:rsid w:val="00E835FF"/>
    <w:rsid w:val="00E84118"/>
    <w:rsid w:val="00E97E16"/>
    <w:rsid w:val="00EB7025"/>
    <w:rsid w:val="00ED0599"/>
    <w:rsid w:val="00ED2406"/>
    <w:rsid w:val="00ED64DF"/>
    <w:rsid w:val="00EE7615"/>
    <w:rsid w:val="00EF52C3"/>
    <w:rsid w:val="00F14D9C"/>
    <w:rsid w:val="00F169D8"/>
    <w:rsid w:val="00F17873"/>
    <w:rsid w:val="00F34D20"/>
    <w:rsid w:val="00F4158E"/>
    <w:rsid w:val="00F418CD"/>
    <w:rsid w:val="00F426A8"/>
    <w:rsid w:val="00F474FA"/>
    <w:rsid w:val="00F51891"/>
    <w:rsid w:val="00F529A8"/>
    <w:rsid w:val="00F60907"/>
    <w:rsid w:val="00F64F60"/>
    <w:rsid w:val="00F73B99"/>
    <w:rsid w:val="00F86DB0"/>
    <w:rsid w:val="00F96882"/>
    <w:rsid w:val="00F97CF1"/>
    <w:rsid w:val="00FA7C3A"/>
    <w:rsid w:val="00FB1DE6"/>
    <w:rsid w:val="00FB3EB6"/>
    <w:rsid w:val="00FC12F8"/>
    <w:rsid w:val="00FD2DA6"/>
    <w:rsid w:val="00FD74FE"/>
    <w:rsid w:val="00FE00C9"/>
    <w:rsid w:val="0173798C"/>
    <w:rsid w:val="017724BA"/>
    <w:rsid w:val="02E65DFB"/>
    <w:rsid w:val="035212BF"/>
    <w:rsid w:val="039E4414"/>
    <w:rsid w:val="03DF3696"/>
    <w:rsid w:val="04146A20"/>
    <w:rsid w:val="042B65AF"/>
    <w:rsid w:val="04F63A75"/>
    <w:rsid w:val="059F2B7F"/>
    <w:rsid w:val="07124682"/>
    <w:rsid w:val="074605C8"/>
    <w:rsid w:val="08082C05"/>
    <w:rsid w:val="084E50C6"/>
    <w:rsid w:val="0873150A"/>
    <w:rsid w:val="08D41CFB"/>
    <w:rsid w:val="0B4E3F7C"/>
    <w:rsid w:val="0C067AA7"/>
    <w:rsid w:val="0C3A6051"/>
    <w:rsid w:val="0D5E7CCB"/>
    <w:rsid w:val="0F203782"/>
    <w:rsid w:val="0F8567C6"/>
    <w:rsid w:val="103B03CB"/>
    <w:rsid w:val="11367441"/>
    <w:rsid w:val="119D46E2"/>
    <w:rsid w:val="13E54D11"/>
    <w:rsid w:val="149823C1"/>
    <w:rsid w:val="16284D71"/>
    <w:rsid w:val="162D599E"/>
    <w:rsid w:val="168F3AEA"/>
    <w:rsid w:val="16B613E9"/>
    <w:rsid w:val="17880F1A"/>
    <w:rsid w:val="17FB1DD7"/>
    <w:rsid w:val="18513440"/>
    <w:rsid w:val="1A6738C9"/>
    <w:rsid w:val="1BAD779C"/>
    <w:rsid w:val="1C6B11D2"/>
    <w:rsid w:val="205D222D"/>
    <w:rsid w:val="20652358"/>
    <w:rsid w:val="20980D1F"/>
    <w:rsid w:val="22795DE6"/>
    <w:rsid w:val="22CF17FE"/>
    <w:rsid w:val="23897F69"/>
    <w:rsid w:val="277E04DF"/>
    <w:rsid w:val="27FFF9FC"/>
    <w:rsid w:val="280A7507"/>
    <w:rsid w:val="2CA71481"/>
    <w:rsid w:val="2D237BBD"/>
    <w:rsid w:val="2DCB25AC"/>
    <w:rsid w:val="2ECA4E41"/>
    <w:rsid w:val="2F8720D8"/>
    <w:rsid w:val="321A724A"/>
    <w:rsid w:val="333736F0"/>
    <w:rsid w:val="351161C8"/>
    <w:rsid w:val="35891B94"/>
    <w:rsid w:val="379F25B3"/>
    <w:rsid w:val="37E2236D"/>
    <w:rsid w:val="39B335AD"/>
    <w:rsid w:val="39D06905"/>
    <w:rsid w:val="3B212A43"/>
    <w:rsid w:val="3BA707D9"/>
    <w:rsid w:val="3E451703"/>
    <w:rsid w:val="404C696F"/>
    <w:rsid w:val="408D7942"/>
    <w:rsid w:val="414600B8"/>
    <w:rsid w:val="4BB518AA"/>
    <w:rsid w:val="4DF41490"/>
    <w:rsid w:val="4E9522CC"/>
    <w:rsid w:val="4EFC0FA1"/>
    <w:rsid w:val="538F151C"/>
    <w:rsid w:val="53A76B9F"/>
    <w:rsid w:val="55482344"/>
    <w:rsid w:val="56425E89"/>
    <w:rsid w:val="585B23DF"/>
    <w:rsid w:val="59044D59"/>
    <w:rsid w:val="5980570E"/>
    <w:rsid w:val="599E5503"/>
    <w:rsid w:val="5A2E1706"/>
    <w:rsid w:val="5BEC31B8"/>
    <w:rsid w:val="607F7BC6"/>
    <w:rsid w:val="66665B79"/>
    <w:rsid w:val="668C0C81"/>
    <w:rsid w:val="67134599"/>
    <w:rsid w:val="67347F65"/>
    <w:rsid w:val="6BE101A7"/>
    <w:rsid w:val="6D7C1133"/>
    <w:rsid w:val="7113454C"/>
    <w:rsid w:val="729C001C"/>
    <w:rsid w:val="737550A5"/>
    <w:rsid w:val="73C155D8"/>
    <w:rsid w:val="74346E02"/>
    <w:rsid w:val="74891D08"/>
    <w:rsid w:val="765C1F36"/>
    <w:rsid w:val="774F6E43"/>
    <w:rsid w:val="77871379"/>
    <w:rsid w:val="77AF46CE"/>
    <w:rsid w:val="78072F03"/>
    <w:rsid w:val="783C0FF3"/>
    <w:rsid w:val="78BD1025"/>
    <w:rsid w:val="7CEB08BC"/>
    <w:rsid w:val="7D1A4046"/>
    <w:rsid w:val="7D2B3A6C"/>
    <w:rsid w:val="7E091DC9"/>
    <w:rsid w:val="7ED848DB"/>
    <w:rsid w:val="B7BE3B86"/>
    <w:rsid w:val="FC9FB4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28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keepNext/>
      <w:keepLines/>
      <w:spacing w:line="312" w:lineRule="auto"/>
      <w:ind w:firstLine="0" w:firstLineChars="0"/>
      <w:jc w:val="center"/>
      <w:outlineLvl w:val="1"/>
    </w:pPr>
    <w:rPr>
      <w:rFonts w:ascii="Cambria" w:hAnsi="Cambria" w:eastAsia="宋体"/>
      <w:b/>
      <w:bCs/>
      <w:sz w:val="36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2 Char"/>
    <w:basedOn w:val="9"/>
    <w:link w:val="2"/>
    <w:qFormat/>
    <w:uiPriority w:val="9"/>
    <w:rPr>
      <w:rFonts w:ascii="Cambria" w:hAnsi="Cambria" w:eastAsia="宋体" w:cs="Times New Roman"/>
      <w:b/>
      <w:bCs/>
      <w:sz w:val="36"/>
      <w:szCs w:val="32"/>
    </w:rPr>
  </w:style>
  <w:style w:type="character" w:customStyle="1" w:styleId="11">
    <w:name w:val="批注框文本 Char"/>
    <w:basedOn w:val="9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2">
    <w:name w:val="页眉 Char"/>
    <w:basedOn w:val="9"/>
    <w:link w:val="5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control" Target="activeX/activeX2.xml"/><Relationship Id="rId11" Type="http://schemas.openxmlformats.org/officeDocument/2006/relationships/image" Target="media/image1.wmf"/><Relationship Id="rId10" Type="http://schemas.openxmlformats.org/officeDocument/2006/relationships/control" Target="activeX/activeX1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3852</Words>
  <Characters>5035</Characters>
  <Lines>34</Lines>
  <Paragraphs>9</Paragraphs>
  <TotalTime>3</TotalTime>
  <ScaleCrop>false</ScaleCrop>
  <LinksUpToDate>false</LinksUpToDate>
  <CharactersWithSpaces>5144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2017-06-28T15:42:00Z</dcterms:created>
  <dc:creator>apple</dc:creator>
  <cp:lastModifiedBy>Administrator</cp:lastModifiedBy>
  <dcterms:modified xsi:type="dcterms:W3CDTF">2020-08-25T01:23:34Z</dcterms:modified>
  <cp:revision>958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