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200" w:line="1360" w:lineRule="exact"/>
        <w:jc w:val="center"/>
        <w:textAlignment w:val="auto"/>
        <w:rPr>
          <w:rFonts w:ascii="Times New Roman" w:hAnsi="Times New Roman" w:eastAsia="华文中宋"/>
          <w:b/>
          <w:bCs/>
          <w:color w:val="000000"/>
          <w:spacing w:val="50"/>
          <w:sz w:val="116"/>
          <w:szCs w:val="116"/>
        </w:rPr>
      </w:pPr>
      <w:r>
        <w:rPr>
          <w:rFonts w:hint="eastAsia" w:ascii="Times New Roman" w:hAnsi="Times New Roman" w:eastAsia="华文中宋" w:cs="华文中宋"/>
          <w:b/>
          <w:bCs/>
          <w:color w:val="FF0000"/>
          <w:spacing w:val="50"/>
          <w:sz w:val="116"/>
          <w:szCs w:val="116"/>
        </w:rPr>
        <w:t>西</w:t>
      </w:r>
      <w:r>
        <w:rPr>
          <w:rFonts w:ascii="Times New Roman" w:hAnsi="Times New Roman" w:eastAsia="华文中宋"/>
          <w:b/>
          <w:bCs/>
          <w:color w:val="FF0000"/>
          <w:spacing w:val="50"/>
          <w:sz w:val="116"/>
          <w:szCs w:val="116"/>
        </w:rPr>
        <w:t xml:space="preserve"> </w:t>
      </w:r>
      <w:r>
        <w:rPr>
          <w:rFonts w:hint="eastAsia" w:ascii="Times New Roman" w:hAnsi="Times New Roman" w:eastAsia="华文中宋" w:cs="华文中宋"/>
          <w:b/>
          <w:bCs/>
          <w:color w:val="FF0000"/>
          <w:spacing w:val="50"/>
          <w:sz w:val="116"/>
          <w:szCs w:val="116"/>
        </w:rPr>
        <w:t>城</w:t>
      </w:r>
      <w:r>
        <w:rPr>
          <w:rFonts w:ascii="Times New Roman" w:hAnsi="Times New Roman" w:eastAsia="华文中宋"/>
          <w:b/>
          <w:bCs/>
          <w:color w:val="FF0000"/>
          <w:spacing w:val="50"/>
          <w:sz w:val="116"/>
          <w:szCs w:val="116"/>
        </w:rPr>
        <w:t xml:space="preserve"> </w:t>
      </w:r>
      <w:r>
        <w:rPr>
          <w:rFonts w:hint="eastAsia" w:ascii="Times New Roman" w:hAnsi="Times New Roman" w:eastAsia="华文中宋" w:cs="华文中宋"/>
          <w:b/>
          <w:bCs/>
          <w:color w:val="FF0000"/>
          <w:spacing w:val="50"/>
          <w:sz w:val="116"/>
          <w:szCs w:val="116"/>
        </w:rPr>
        <w:t>卫</w:t>
      </w:r>
      <w:r>
        <w:rPr>
          <w:rFonts w:ascii="Times New Roman" w:hAnsi="Times New Roman" w:eastAsia="华文中宋"/>
          <w:b/>
          <w:bCs/>
          <w:color w:val="FF0000"/>
          <w:spacing w:val="50"/>
          <w:sz w:val="116"/>
          <w:szCs w:val="116"/>
        </w:rPr>
        <w:t xml:space="preserve"> </w:t>
      </w:r>
      <w:r>
        <w:rPr>
          <w:rFonts w:hint="eastAsia" w:ascii="Times New Roman" w:hAnsi="Times New Roman" w:eastAsia="华文中宋" w:cs="华文中宋"/>
          <w:b/>
          <w:bCs/>
          <w:color w:val="FF0000"/>
          <w:spacing w:val="50"/>
          <w:sz w:val="116"/>
          <w:szCs w:val="116"/>
        </w:rPr>
        <w:t>生</w:t>
      </w:r>
    </w:p>
    <w:p>
      <w:pPr>
        <w:keepNext w:val="0"/>
        <w:keepLines w:val="0"/>
        <w:pageBreakBefore w:val="0"/>
        <w:widowControl w:val="0"/>
        <w:kinsoku/>
        <w:wordWrap/>
        <w:overflowPunct/>
        <w:topLinePunct w:val="0"/>
        <w:autoSpaceDE/>
        <w:autoSpaceDN/>
        <w:bidi w:val="0"/>
        <w:adjustRightInd/>
        <w:snapToGrid/>
        <w:spacing w:after="200" w:line="760" w:lineRule="exact"/>
        <w:jc w:val="center"/>
        <w:textAlignment w:val="auto"/>
        <w:rPr>
          <w:rFonts w:ascii="宋体" w:hAnsi="Times New Roman"/>
          <w:b/>
          <w:bCs/>
          <w:sz w:val="32"/>
          <w:szCs w:val="32"/>
        </w:rPr>
      </w:pPr>
      <w:r>
        <w:rPr>
          <w:rFonts w:hint="eastAsia" w:ascii="宋体" w:hAnsi="宋体" w:cs="宋体"/>
          <w:b/>
          <w:bCs/>
          <w:sz w:val="32"/>
          <w:szCs w:val="32"/>
        </w:rPr>
        <w:t>第</w:t>
      </w:r>
      <w:r>
        <w:rPr>
          <w:rFonts w:hint="eastAsia" w:ascii="宋体" w:hAnsi="宋体" w:cs="宋体"/>
          <w:b/>
          <w:bCs/>
          <w:sz w:val="32"/>
          <w:szCs w:val="32"/>
          <w:lang w:val="en-US" w:eastAsia="zh-CN"/>
        </w:rPr>
        <w:t>42</w:t>
      </w:r>
      <w:r>
        <w:rPr>
          <w:rFonts w:hint="eastAsia" w:ascii="宋体" w:hAnsi="宋体" w:cs="宋体"/>
          <w:b/>
          <w:bCs/>
          <w:sz w:val="32"/>
          <w:szCs w:val="32"/>
        </w:rPr>
        <w:t>期</w:t>
      </w:r>
    </w:p>
    <w:p>
      <w:pPr>
        <w:keepNext w:val="0"/>
        <w:keepLines w:val="0"/>
        <w:pageBreakBefore w:val="0"/>
        <w:widowControl w:val="0"/>
        <w:kinsoku/>
        <w:wordWrap/>
        <w:overflowPunct/>
        <w:topLinePunct w:val="0"/>
        <w:autoSpaceDE/>
        <w:autoSpaceDN/>
        <w:bidi w:val="0"/>
        <w:adjustRightInd/>
        <w:snapToGrid/>
        <w:spacing w:after="200" w:line="760" w:lineRule="exact"/>
        <w:jc w:val="left"/>
        <w:textAlignment w:val="auto"/>
        <w:rPr>
          <w:rFonts w:ascii="仿宋" w:hAnsi="仿宋" w:eastAsia="仿宋"/>
          <w:color w:val="FF0000"/>
          <w:spacing w:val="126"/>
          <w:sz w:val="32"/>
          <w:szCs w:val="32"/>
        </w:rPr>
      </w:pPr>
      <w:r>
        <w:rPr>
          <w:rFonts w:hint="eastAsia" w:ascii="仿宋" w:hAnsi="仿宋" w:eastAsia="仿宋" w:cs="仿宋_GB2312"/>
          <w:b/>
          <w:bCs/>
          <w:color w:val="FF0000"/>
          <w:sz w:val="32"/>
          <w:szCs w:val="32"/>
        </w:rPr>
        <w:t xml:space="preserve">北京市西城区卫生健康委   </w:t>
      </w:r>
      <w:r>
        <w:rPr>
          <w:rFonts w:ascii="仿宋_GB2312" w:hAnsi="Times New Roman" w:eastAsia="仿宋_GB2312" w:cs="仿宋_GB2312"/>
          <w:b/>
          <w:bCs/>
          <w:color w:val="FF0000"/>
          <w:spacing w:val="120"/>
          <w:sz w:val="32"/>
          <w:szCs w:val="32"/>
        </w:rPr>
        <w:t xml:space="preserve">   </w:t>
      </w:r>
      <w:r>
        <w:rPr>
          <w:rFonts w:hint="eastAsia" w:ascii="仿宋_GB2312" w:hAnsi="Times New Roman" w:eastAsia="仿宋_GB2312" w:cs="仿宋_GB2312"/>
          <w:b/>
          <w:bCs/>
          <w:color w:val="FF0000"/>
          <w:spacing w:val="120"/>
          <w:sz w:val="32"/>
          <w:szCs w:val="32"/>
        </w:rPr>
        <w:t xml:space="preserve"> </w:t>
      </w:r>
      <w:r>
        <w:rPr>
          <w:rFonts w:hint="eastAsia" w:ascii="仿宋_GB2312" w:hAnsi="仿宋" w:eastAsia="仿宋_GB2312" w:cs="仿宋_GB2312"/>
          <w:b/>
          <w:bCs/>
          <w:color w:val="000000"/>
          <w:sz w:val="32"/>
          <w:szCs w:val="32"/>
        </w:rPr>
        <w:t>202</w:t>
      </w:r>
      <w:r>
        <w:rPr>
          <w:rFonts w:hint="eastAsia" w:ascii="仿宋_GB2312" w:hAnsi="仿宋" w:eastAsia="仿宋_GB2312" w:cs="仿宋_GB2312"/>
          <w:b/>
          <w:bCs/>
          <w:color w:val="000000"/>
          <w:sz w:val="32"/>
          <w:szCs w:val="32"/>
          <w:lang w:val="en-US" w:eastAsia="zh-CN"/>
        </w:rPr>
        <w:t>1</w:t>
      </w:r>
      <w:r>
        <w:rPr>
          <w:rFonts w:hint="eastAsia" w:ascii="仿宋_GB2312" w:hAnsi="仿宋" w:eastAsia="仿宋_GB2312" w:cs="仿宋_GB2312"/>
          <w:b/>
          <w:bCs/>
          <w:color w:val="000000"/>
          <w:sz w:val="32"/>
          <w:szCs w:val="32"/>
        </w:rPr>
        <w:t>年</w:t>
      </w:r>
      <w:r>
        <w:rPr>
          <w:rFonts w:hint="eastAsia" w:ascii="仿宋_GB2312" w:hAnsi="仿宋" w:eastAsia="仿宋_GB2312" w:cs="仿宋_GB2312"/>
          <w:b/>
          <w:bCs/>
          <w:color w:val="000000"/>
          <w:sz w:val="32"/>
          <w:szCs w:val="32"/>
          <w:lang w:val="en-US" w:eastAsia="zh-CN"/>
        </w:rPr>
        <w:t>03</w:t>
      </w:r>
      <w:r>
        <w:rPr>
          <w:rFonts w:hint="eastAsia" w:ascii="仿宋_GB2312" w:hAnsi="仿宋" w:eastAsia="仿宋_GB2312" w:cs="仿宋_GB2312"/>
          <w:b/>
          <w:bCs/>
          <w:color w:val="000000"/>
          <w:sz w:val="32"/>
          <w:szCs w:val="32"/>
        </w:rPr>
        <w:t>月</w:t>
      </w:r>
      <w:r>
        <w:rPr>
          <w:rFonts w:hint="eastAsia" w:ascii="仿宋_GB2312" w:hAnsi="仿宋" w:eastAsia="仿宋_GB2312" w:cs="仿宋_GB2312"/>
          <w:b/>
          <w:bCs/>
          <w:color w:val="000000"/>
          <w:sz w:val="32"/>
          <w:szCs w:val="32"/>
          <w:lang w:val="en-US" w:eastAsia="zh-CN"/>
        </w:rPr>
        <w:t>04</w:t>
      </w:r>
      <w:r>
        <w:rPr>
          <w:rFonts w:hint="eastAsia" w:ascii="仿宋_GB2312" w:hAnsi="仿宋" w:eastAsia="仿宋_GB2312" w:cs="仿宋_GB2312"/>
          <w:b/>
          <w:bCs/>
          <w:color w:val="000000"/>
          <w:sz w:val="32"/>
          <w:szCs w:val="32"/>
        </w:rPr>
        <w:t>日</w:t>
      </w:r>
    </w:p>
    <w:p>
      <w:pPr>
        <w:keepNext w:val="0"/>
        <w:keepLines w:val="0"/>
        <w:pageBreakBefore w:val="0"/>
        <w:widowControl w:val="0"/>
        <w:kinsoku/>
        <w:wordWrap/>
        <w:overflowPunct/>
        <w:topLinePunct w:val="0"/>
        <w:autoSpaceDE/>
        <w:autoSpaceDN/>
        <w:bidi w:val="0"/>
        <w:adjustRightInd/>
        <w:snapToGrid/>
        <w:spacing w:after="200" w:line="760" w:lineRule="exact"/>
        <w:jc w:val="left"/>
        <w:textAlignment w:val="auto"/>
        <w:rPr>
          <w:rFonts w:ascii="Times New Roman" w:hAnsi="Times New Roman" w:eastAsia="仿宋_GB2312"/>
          <w:color w:val="FF0000"/>
          <w:spacing w:val="126"/>
          <w:sz w:val="52"/>
          <w:szCs w:val="52"/>
        </w:rPr>
      </w:pPr>
      <w:r>
        <w:rPr>
          <w:rFonts w:ascii="Times New Roman" w:hAnsi="Times New Roman"/>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40005</wp:posOffset>
                </wp:positionV>
                <wp:extent cx="5600700" cy="0"/>
                <wp:effectExtent l="0" t="13970" r="0" b="1460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FF0000"/>
                          </a:solidFill>
                          <a:round/>
                        </a:ln>
                        <a:effectLst/>
                      </wps:spPr>
                      <wps:bodyPr/>
                    </wps:wsp>
                  </a:graphicData>
                </a:graphic>
              </wp:anchor>
            </w:drawing>
          </mc:Choice>
          <mc:Fallback>
            <w:pict>
              <v:line id="_x0000_s1026" o:spid="_x0000_s1026" o:spt="20" style="position:absolute;left:0pt;margin-left:0pt;margin-top:3.15pt;height:0pt;width:441pt;z-index:251659264;mso-width-relative:page;mso-height-relative:page;" filled="f" stroked="t" coordsize="21600,21600" o:gfxdata="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I8wQs0gAAAAQBAAAPAAAAAAAAAAEAIAAAACIAAABkcnMv&#10;ZG93bnJldi54bWxQSwECFAAUAAAACACHTuJAnclwB9ABAABrAwAADgAAAAAAAAABACAAAAAhAQAA&#10;ZHJzL2Uyb0RvYy54bWxQSwUGAAAAAAYABgBZAQAAYwU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Times New Roman" w:hAnsi="Times New Roman" w:eastAsia="黑体" w:cs="黑体"/>
          <w:color w:val="000000"/>
          <w:sz w:val="44"/>
          <w:szCs w:val="44"/>
        </w:rPr>
      </w:pPr>
      <w:r>
        <w:rPr>
          <w:rFonts w:hint="eastAsia" w:ascii="Times New Roman" w:hAnsi="Times New Roman" w:eastAsia="黑体" w:cs="黑体"/>
          <w:color w:val="000000"/>
          <w:sz w:val="44"/>
          <w:szCs w:val="44"/>
        </w:rPr>
        <w:t>【业务信息】</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eastAsia" w:ascii="仿宋_GB2312" w:hAnsi="Tahoma" w:eastAsia="仿宋_GB2312" w:cs="Times New Roman"/>
          <w:b w:val="0"/>
          <w:kern w:val="0"/>
          <w:sz w:val="32"/>
          <w:szCs w:val="32"/>
          <w:rtl w:val="0"/>
          <w:lang w:val="en-US" w:eastAsia="zh-CN" w:bidi="ar-SA"/>
        </w:rPr>
      </w:pPr>
      <w:r>
        <w:rPr>
          <w:rFonts w:hint="eastAsia" w:ascii="黑体" w:hAnsi="黑体" w:eastAsia="黑体" w:cs="黑体"/>
          <w:b w:val="0"/>
          <w:kern w:val="0"/>
          <w:sz w:val="32"/>
          <w:szCs w:val="32"/>
          <w:rtl w:val="0"/>
          <w:lang w:val="en-US" w:eastAsia="zh-CN" w:bidi="ar-SA"/>
        </w:rPr>
        <w:t>西城区卫生健康委开展实验室生物安全专项督导检查</w:t>
      </w:r>
      <w:r>
        <w:rPr>
          <w:rFonts w:hint="eastAsia" w:ascii="仿宋_GB2312" w:hAnsi="Tahoma" w:eastAsia="仿宋_GB2312" w:cs="Times New Roman"/>
          <w:b w:val="0"/>
          <w:kern w:val="0"/>
          <w:sz w:val="32"/>
          <w:szCs w:val="32"/>
          <w:rtl w:val="0"/>
          <w:lang w:val="en-US" w:eastAsia="zh-CN" w:bidi="ar-SA"/>
        </w:rPr>
        <w:t xml:space="preserve">  为切实加强人间传染的病原微生物实验室生物安全管理，防范化解生物安全风险，保障全国“两会”安全稳定，3月2日至3日，西城区卫生健康委组织生物安全专家委员会委员，对中国疾控中心病毒病预防控制所、中国医学科学院药物研究所、中国医学科学院医药生物技术研究所、首都医科大学附属复兴医院、北京市肛肠医院、北京市宣武中医医院、北京市回民医院、西城区展览路医院、西城区妇幼保健院和西城区疾控中心等10家单位开展实验室生物安全专项监督检查。</w:t>
      </w:r>
      <w:r>
        <w:rPr>
          <w:rFonts w:hint="eastAsia" w:ascii="仿宋_GB2312" w:hAnsi="Tahoma" w:eastAsia="仿宋_GB2312" w:cs="Times New Roman"/>
          <w:b w:val="0"/>
          <w:kern w:val="0"/>
          <w:sz w:val="32"/>
          <w:szCs w:val="32"/>
          <w:rtl w:val="0"/>
          <w:lang w:val="en-US" w:eastAsia="zh-CN" w:bidi="ar-SA"/>
        </w:rPr>
        <w:br w:type="textWrapping"/>
      </w:r>
      <w:r>
        <w:rPr>
          <w:rFonts w:hint="eastAsia" w:ascii="仿宋_GB2312" w:hAnsi="Tahoma" w:eastAsia="仿宋_GB2312" w:cs="Times New Roman"/>
          <w:b w:val="0"/>
          <w:kern w:val="0"/>
          <w:sz w:val="32"/>
          <w:szCs w:val="32"/>
          <w:rtl w:val="0"/>
          <w:lang w:val="en-US" w:eastAsia="zh-CN" w:bidi="ar-SA"/>
        </w:rPr>
        <w:t xml:space="preserve">    此次监督检查重点围绕实验操作、风险评估、毒种或样本管理、人员防护、实验室环境监测、人员健康监测、应急管理等方面进行。</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eastAsia" w:ascii="仿宋_GB2312" w:hAnsi="Tahoma" w:eastAsia="仿宋_GB2312" w:cs="Times New Roman"/>
          <w:b w:val="0"/>
          <w:kern w:val="0"/>
          <w:sz w:val="32"/>
          <w:szCs w:val="32"/>
          <w:rtl w:val="0"/>
          <w:lang w:val="en-US" w:eastAsia="zh-CN" w:bidi="ar-SA"/>
        </w:rPr>
      </w:pPr>
      <w:r>
        <w:rPr>
          <w:rFonts w:hint="eastAsia" w:ascii="仿宋_GB2312" w:hAnsi="Tahoma" w:eastAsia="仿宋_GB2312" w:cs="Times New Roman"/>
          <w:b w:val="0"/>
          <w:kern w:val="0"/>
          <w:sz w:val="32"/>
          <w:szCs w:val="32"/>
          <w:rtl w:val="0"/>
          <w:lang w:val="en-US" w:eastAsia="zh-CN" w:bidi="ar-SA"/>
        </w:rPr>
        <w:t>从专家组现场督导检查情况看，各实验室设立单位能够压实生物安全责任，完善责任管理制度，切实履行了生物安全监管责任，没有发生不良事件；绝大多数实验室制度建设规范，实验活动布局合理，实验室体系文件完善，运维管理良好；实验操作规范，人员防护到位，执行技术和防护规范严格；并定期开展了实验室法律法规、技术标准、操作规范等培训，提高专业能力和安全防护水平；加强了菌（毒）种和样本管理，严格规范采集和包装、运输和交接、保存和管控等衔接环节；强化了环境监测和消毒管理，抓实抓细实验室环境监测和实验用品消毒管理，定期对密接人员进行核酸检测，必要时启动应急环境处理程序；严格落实了备案和信息报告制度，履行实验室重大节日“日报告”，实施动态监管；强化了评估演练和应急管理，提升人员的应急处置能力，做好应急演练和消防安全培训；建立了自查和监督检查的长效机制，完善自查自监工作，设置二道管理防线，确保安全生产机制长期有效应答。但检查中也发现个别实验室安全管理不够规范、制度落实不够严格、布局不够合理、安全存有一定隐患等问题，专家组现场提出了整改意见。</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default"/>
          <w:lang w:val="en-US"/>
        </w:rPr>
      </w:pPr>
      <w:r>
        <w:rPr>
          <w:rFonts w:hint="eastAsia" w:ascii="仿宋_GB2312" w:hAnsi="Tahoma" w:eastAsia="仿宋_GB2312" w:cs="Times New Roman"/>
          <w:b w:val="0"/>
          <w:kern w:val="0"/>
          <w:sz w:val="32"/>
          <w:szCs w:val="32"/>
          <w:rtl w:val="0"/>
          <w:lang w:val="en-US" w:eastAsia="zh-CN" w:bidi="ar-SA"/>
        </w:rPr>
        <w:t>下一步，各单位将按照法律法规进一步梳理修订实验室生物安全规章制度；加强人员生物安全培训，提升实验室人员的能力水平；强化生物安全能力建设，完善防范措施，消除实验室安全隐患；加强实验室生物安全日常监管，及时发现问题隐患，研究整改措施。                       (区卫生健康委)</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eastAsia" w:ascii="仿宋_GB2312" w:hAnsi="Tahoma" w:eastAsia="仿宋_GB2312" w:cs="Times New Roman"/>
          <w:b w:val="0"/>
          <w:kern w:val="0"/>
          <w:sz w:val="32"/>
          <w:szCs w:val="32"/>
          <w:rtl w:val="0"/>
          <w:lang w:val="en-US" w:eastAsia="zh-CN" w:bidi="ar-SA"/>
        </w:rPr>
      </w:pPr>
      <w:r>
        <w:rPr>
          <w:rFonts w:hint="eastAsia" w:ascii="黑体" w:hAnsi="黑体" w:eastAsia="黑体" w:cs="黑体"/>
          <w:b w:val="0"/>
          <w:kern w:val="0"/>
          <w:sz w:val="32"/>
          <w:szCs w:val="32"/>
          <w:rtl w:val="0"/>
          <w:lang w:val="en-US" w:eastAsia="zh-CN" w:bidi="ar-SA"/>
        </w:rPr>
        <w:t>复兴医院全面启动2021年全国“两会”医疗保障工作</w:t>
      </w:r>
      <w:r>
        <w:rPr>
          <w:rFonts w:hint="eastAsia" w:ascii="仿宋_GB2312" w:hAnsi="Tahoma" w:eastAsia="仿宋_GB2312" w:cs="Times New Roman"/>
          <w:b w:val="0"/>
          <w:kern w:val="0"/>
          <w:sz w:val="32"/>
          <w:szCs w:val="32"/>
          <w:rtl w:val="0"/>
          <w:lang w:val="en-US" w:eastAsia="zh-CN" w:bidi="ar-SA"/>
        </w:rPr>
        <w:t xml:space="preserve">  全国政协十三届四次会议和十三届全国人大四次会议将于3月4日、5日在北京开幕。根据国家卫生健康委保健局以及北京市保健委员会办公室统一部署要求，复兴医院承担此次会议驻地医疗保障、就近应急医院转运和后备医院接诊任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eastAsia" w:ascii="仿宋_GB2312" w:hAnsi="Tahoma" w:eastAsia="仿宋_GB2312" w:cs="Times New Roman"/>
          <w:b w:val="0"/>
          <w:kern w:val="0"/>
          <w:sz w:val="32"/>
          <w:szCs w:val="32"/>
          <w:rtl w:val="0"/>
          <w:lang w:val="en-US" w:eastAsia="zh-CN" w:bidi="ar-SA"/>
        </w:rPr>
      </w:pPr>
      <w:r>
        <w:rPr>
          <w:rFonts w:hint="eastAsia" w:ascii="仿宋_GB2312" w:hAnsi="Tahoma" w:eastAsia="仿宋_GB2312" w:cs="Times New Roman"/>
          <w:b w:val="0"/>
          <w:kern w:val="0"/>
          <w:sz w:val="32"/>
          <w:szCs w:val="32"/>
          <w:rtl w:val="0"/>
          <w:lang w:val="en-US" w:eastAsia="zh-CN" w:bidi="ar-SA"/>
        </w:rPr>
        <w:t>接到任务后，复兴医院迅速成立“两会”医疗保障工作领导小组，组建“两会”医疗保障团队，制定医疗保障工作方案，选派出政治素质好、业务技术过硬、具备合作精神和独立工作能力的医护人员组成驻地医疗保障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eastAsia" w:ascii="仿宋_GB2312" w:hAnsi="Tahoma" w:eastAsia="仿宋_GB2312" w:cs="Times New Roman"/>
          <w:b w:val="0"/>
          <w:kern w:val="0"/>
          <w:sz w:val="32"/>
          <w:szCs w:val="32"/>
          <w:rtl w:val="0"/>
          <w:lang w:val="en-US" w:eastAsia="zh-CN" w:bidi="ar-SA"/>
        </w:rPr>
      </w:pPr>
      <w:r>
        <w:rPr>
          <w:rFonts w:hint="eastAsia" w:ascii="仿宋_GB2312" w:hAnsi="Tahoma" w:eastAsia="仿宋_GB2312" w:cs="Times New Roman"/>
          <w:b w:val="0"/>
          <w:kern w:val="0"/>
          <w:sz w:val="32"/>
          <w:szCs w:val="32"/>
          <w:rtl w:val="0"/>
          <w:lang w:val="en-US" w:eastAsia="zh-CN" w:bidi="ar-SA"/>
        </w:rPr>
        <w:t>此外，医院还召开了医疗保障工作动员部署会，从任务概况、驻地工作组职责要求、驻地传染病防控工作职责、后备医院工作任务等方面进行全方位部署。</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eastAsia" w:ascii="仿宋_GB2312" w:hAnsi="Tahoma" w:eastAsia="仿宋_GB2312" w:cs="Times New Roman"/>
          <w:b w:val="0"/>
          <w:kern w:val="0"/>
          <w:sz w:val="32"/>
          <w:szCs w:val="32"/>
          <w:rtl w:val="0"/>
          <w:lang w:val="en-US" w:eastAsia="zh-CN" w:bidi="ar-SA"/>
        </w:rPr>
      </w:pPr>
      <w:r>
        <w:rPr>
          <w:rFonts w:hint="eastAsia" w:ascii="仿宋_GB2312" w:hAnsi="Tahoma" w:eastAsia="仿宋_GB2312" w:cs="Times New Roman"/>
          <w:b w:val="0"/>
          <w:kern w:val="0"/>
          <w:sz w:val="32"/>
          <w:szCs w:val="32"/>
          <w:rtl w:val="0"/>
          <w:lang w:val="en-US" w:eastAsia="zh-CN" w:bidi="ar-SA"/>
        </w:rPr>
        <w:t>医院保健办围绕“医疗救治”和“疫情防控”两条主线，积极筹备前期工作，带领医疗组准备急救药品和防护物资，检查急救设备，组织疫情防控专项培训，开展急救模拟演练，进行发热患者接诊、报告、转诊全流程推演；司机班积极检验救护车辆，确保设备完好，熟悉驻地和应急转诊医院的转运路线；院内专家医疗组在岗在位；急诊科开放绿色通道；院部门诊设立接诊专台；综合科预留床位，随时做好接诊准备。</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eastAsia" w:ascii="仿宋_GB2312" w:hAnsi="Tahoma" w:eastAsia="仿宋_GB2312" w:cs="Times New Roman"/>
          <w:b w:val="0"/>
          <w:kern w:val="0"/>
          <w:sz w:val="32"/>
          <w:szCs w:val="32"/>
          <w:rtl w:val="0"/>
          <w:lang w:val="en-US" w:eastAsia="zh-CN" w:bidi="ar-SA"/>
        </w:rPr>
      </w:pPr>
      <w:r>
        <w:rPr>
          <w:rFonts w:hint="eastAsia" w:ascii="仿宋_GB2312" w:hAnsi="Tahoma" w:eastAsia="仿宋_GB2312" w:cs="Times New Roman"/>
          <w:b w:val="0"/>
          <w:kern w:val="0"/>
          <w:sz w:val="32"/>
          <w:szCs w:val="32"/>
          <w:rtl w:val="0"/>
          <w:lang w:val="en-US" w:eastAsia="zh-CN" w:bidi="ar-SA"/>
        </w:rPr>
        <w:t>会议强调，驻地医疗组在做好医疗救治的同时，要强化疫情防控意识，熟练掌握应急处置流程，确保各环节衔接到位；按照“谁派出、谁检测、谁负责”原则，做好自身健康监测工作；严格执行预检分诊，务必做好保障对象的流行病学筛查和登记工作，重点排查发热和呼吸道症状患者；严格遵守会议纪律要求，服从和执行会议疫情防控的各项规定，切实做好全国“两会”</w:t>
      </w:r>
      <w:r>
        <w:rPr>
          <w:rFonts w:hint="default" w:ascii="仿宋_GB2312" w:hAnsi="Tahoma" w:eastAsia="仿宋_GB2312" w:cs="Times New Roman"/>
          <w:b w:val="0"/>
          <w:kern w:val="0"/>
          <w:sz w:val="32"/>
          <w:szCs w:val="32"/>
          <w:rtl w:val="0"/>
          <w:lang w:val="en-US" w:eastAsia="zh-CN" w:bidi="ar-SA"/>
        </w:rPr>
        <w:t>疫情防控和医疗保障工作</w:t>
      </w:r>
      <w:r>
        <w:rPr>
          <w:rFonts w:hint="eastAsia" w:ascii="仿宋_GB2312" w:hAnsi="Tahoma" w:eastAsia="仿宋_GB2312" w:cs="Times New Roman"/>
          <w:b w:val="0"/>
          <w:kern w:val="0"/>
          <w:sz w:val="32"/>
          <w:szCs w:val="32"/>
          <w:rtl w:val="0"/>
          <w:lang w:val="en-US" w:eastAsia="zh-CN" w:bidi="ar-SA"/>
        </w:rPr>
        <w:t>， 为“两会”的顺利召开保驾护航。                                   （复兴医院）</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eastAsia" w:ascii="仿宋_GB2312" w:hAnsi="Tahoma" w:eastAsia="仿宋_GB2312" w:cs="Times New Roman"/>
          <w:b w:val="0"/>
          <w:kern w:val="0"/>
          <w:sz w:val="32"/>
          <w:szCs w:val="32"/>
          <w:rtl w:val="0"/>
          <w:lang w:val="en-US" w:eastAsia="zh-CN" w:bidi="ar-SA"/>
        </w:rPr>
      </w:pPr>
      <w:r>
        <w:rPr>
          <w:rFonts w:hint="eastAsia" w:ascii="黑体" w:hAnsi="黑体" w:eastAsia="黑体" w:cs="黑体"/>
          <w:b w:val="0"/>
          <w:kern w:val="0"/>
          <w:sz w:val="32"/>
          <w:szCs w:val="32"/>
          <w:rtl w:val="0"/>
          <w:lang w:val="en-US" w:eastAsia="zh-CN" w:bidi="ar-SA"/>
        </w:rPr>
        <w:t>广外医院顺利完成2020年部门决算编报工作</w:t>
      </w:r>
      <w:r>
        <w:rPr>
          <w:rFonts w:hint="eastAsia" w:ascii="仿宋_GB2312" w:hAnsi="Tahoma" w:eastAsia="仿宋_GB2312" w:cs="Times New Roman"/>
          <w:b w:val="0"/>
          <w:kern w:val="0"/>
          <w:sz w:val="32"/>
          <w:szCs w:val="32"/>
          <w:rtl w:val="0"/>
          <w:lang w:val="en-US" w:eastAsia="zh-CN" w:bidi="ar-SA"/>
        </w:rPr>
        <w:t xml:space="preserve">  根据《中华人民共和国预算法》《中华人民共和国会计法》和《北京市财政局关于2020年度部门决算工作的通知》（京财国库〔2021〕15号）要求，近期，广外医院顺利完成了2020年度部门决算编审工作。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eastAsia" w:ascii="仿宋_GB2312" w:hAnsi="Tahoma" w:eastAsia="仿宋_GB2312" w:cs="Times New Roman"/>
          <w:b w:val="0"/>
          <w:kern w:val="0"/>
          <w:sz w:val="32"/>
          <w:szCs w:val="32"/>
          <w:rtl w:val="0"/>
          <w:lang w:val="en-US" w:eastAsia="zh-CN" w:bidi="ar-SA"/>
        </w:rPr>
      </w:pPr>
      <w:r>
        <w:rPr>
          <w:rFonts w:hint="eastAsia" w:ascii="仿宋_GB2312" w:hAnsi="Tahoma" w:eastAsia="仿宋_GB2312" w:cs="Times New Roman"/>
          <w:b w:val="0"/>
          <w:kern w:val="0"/>
          <w:sz w:val="32"/>
          <w:szCs w:val="32"/>
          <w:rtl w:val="0"/>
          <w:lang w:val="en-US" w:eastAsia="zh-CN" w:bidi="ar-SA"/>
        </w:rPr>
        <w:t>具体实施中，医院财务科着重从真实性、准确性、规范性和完整性等方面入手，对应收应付等往来款项、固定资产使用状态及入账时间、各类“其他支出”所占比重等期末结账事项进行了认真梳理，并将全年财政拨款收入与财政指标对账单进行逐类逐款逐项核对，确保无误,保证数据的完整性、真实性和准确性。</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eastAsia" w:ascii="仿宋_GB2312" w:hAnsi="Tahoma" w:eastAsia="仿宋_GB2312" w:cs="Times New Roman"/>
          <w:b w:val="0"/>
          <w:kern w:val="0"/>
          <w:sz w:val="32"/>
          <w:szCs w:val="32"/>
          <w:rtl w:val="0"/>
          <w:lang w:val="en-US" w:eastAsia="zh-CN" w:bidi="ar-SA"/>
        </w:rPr>
      </w:pPr>
      <w:r>
        <w:rPr>
          <w:rFonts w:hint="eastAsia" w:ascii="仿宋_GB2312" w:hAnsi="Tahoma" w:eastAsia="仿宋_GB2312" w:cs="Times New Roman"/>
          <w:b w:val="0"/>
          <w:kern w:val="0"/>
          <w:sz w:val="32"/>
          <w:szCs w:val="32"/>
          <w:rtl w:val="0"/>
          <w:lang w:val="en-US" w:eastAsia="zh-CN" w:bidi="ar-SA"/>
        </w:rPr>
        <w:t>在完成2020年度决算报表、卫生财务快报表、卫生健康年报表的填报工作后，财务人员在经济指标平台中导入财务月报、财政决算、卫生决算报表，并进行跨系统对比审核工作，包括年报公式审核、跨系统审核、对账单审核、财政决算辅助公式审核等，并对发现的问题做出及时更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eastAsia" w:ascii="仿宋_GB2312" w:hAnsi="Tahoma" w:eastAsia="仿宋_GB2312" w:cs="Times New Roman"/>
          <w:b w:val="0"/>
          <w:kern w:val="0"/>
          <w:sz w:val="32"/>
          <w:szCs w:val="32"/>
          <w:rtl w:val="0"/>
          <w:lang w:val="en-US" w:eastAsia="zh-CN" w:bidi="ar-SA"/>
        </w:rPr>
      </w:pPr>
      <w:r>
        <w:rPr>
          <w:rFonts w:hint="eastAsia" w:ascii="仿宋_GB2312" w:hAnsi="Tahoma" w:eastAsia="仿宋_GB2312" w:cs="Times New Roman"/>
          <w:b w:val="0"/>
          <w:kern w:val="0"/>
          <w:sz w:val="32"/>
          <w:szCs w:val="32"/>
          <w:rtl w:val="0"/>
          <w:lang w:val="en-US" w:eastAsia="zh-CN" w:bidi="ar-SA"/>
        </w:rPr>
        <w:t>部门决算报表编制工作是财务工作的重要组成部分，在各项数据审核和梳理过程中，医院财务科从预算执行情况、收支完成情况、资产负债情况等方面对决算数据进行全面解析，及时发现预算编制和预算执行中的问题，找出会计核算和财务管理中的薄弱环节并加以改进，为提高资金使用效益提供了参考和依据，也为医院加强财务管理夯实了数据基础。 （广外医院）</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eastAsia" w:ascii="仿宋_GB2312" w:hAnsi="Tahoma" w:eastAsia="仿宋_GB2312" w:cs="Times New Roman"/>
          <w:b w:val="0"/>
          <w:kern w:val="0"/>
          <w:sz w:val="32"/>
          <w:szCs w:val="32"/>
          <w:rtl w:val="0"/>
          <w:lang w:val="en-US" w:eastAsia="zh-CN" w:bidi="ar-SA"/>
        </w:rPr>
      </w:pPr>
      <w:r>
        <w:rPr>
          <w:rFonts w:hint="eastAsia" w:ascii="黑体" w:hAnsi="黑体" w:eastAsia="黑体" w:cs="黑体"/>
          <w:b w:val="0"/>
          <w:kern w:val="0"/>
          <w:sz w:val="32"/>
          <w:szCs w:val="32"/>
          <w:rtl w:val="0"/>
          <w:lang w:val="en-US" w:eastAsia="zh-CN" w:bidi="ar-SA"/>
        </w:rPr>
        <w:t>区卫生健康监督所开展春季开学季专项监督检查</w:t>
      </w:r>
      <w:r>
        <w:rPr>
          <w:rFonts w:hint="eastAsia" w:ascii="仿宋_GB2312" w:hAnsi="Tahoma" w:eastAsia="仿宋_GB2312" w:cs="Times New Roman"/>
          <w:b w:val="0"/>
          <w:kern w:val="0"/>
          <w:sz w:val="32"/>
          <w:szCs w:val="32"/>
          <w:rtl w:val="0"/>
          <w:lang w:val="en-US" w:eastAsia="zh-CN" w:bidi="ar-SA"/>
        </w:rPr>
        <w:t xml:space="preserve">  为严格落实“四方责任”，做好新学期学校卫生工作，特别是学校内传染病疫情防控工作，日前，西城区卫生健康监督所对辖区中小学校和托幼机构开展了新学期首次专项监督检查。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eastAsia" w:ascii="仿宋_GB2312" w:hAnsi="Tahoma" w:eastAsia="仿宋_GB2312" w:cs="Times New Roman"/>
          <w:b w:val="0"/>
          <w:kern w:val="0"/>
          <w:sz w:val="32"/>
          <w:szCs w:val="32"/>
          <w:rtl w:val="0"/>
          <w:lang w:val="en-US" w:eastAsia="zh-CN" w:bidi="ar-SA"/>
        </w:rPr>
      </w:pPr>
      <w:r>
        <w:rPr>
          <w:rFonts w:hint="eastAsia" w:ascii="仿宋_GB2312" w:hAnsi="Tahoma" w:eastAsia="仿宋_GB2312" w:cs="Times New Roman"/>
          <w:b w:val="0"/>
          <w:kern w:val="0"/>
          <w:sz w:val="32"/>
          <w:szCs w:val="32"/>
          <w:rtl w:val="0"/>
          <w:lang w:val="en-US" w:eastAsia="zh-CN" w:bidi="ar-SA"/>
        </w:rPr>
        <w:t>区卫生健康监督所结合近期各级政府的最新要求和学校春季疫情防控特点，从人物同防、多病共防的角度，全面细致地检查了各学校及托幼机构的组织领导、人员保障、场所管理、物资管理、宣传教育、人员排查等内容；重点查看了各学校疫情防控工作方案的科学性、可行性和落实情况。对于检查中发现的问题和漏洞，监督员及时指正并督促校方、园方立即整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eastAsia" w:ascii="仿宋_GB2312" w:hAnsi="Tahoma" w:eastAsia="仿宋_GB2312" w:cs="Times New Roman"/>
          <w:b w:val="0"/>
          <w:kern w:val="0"/>
          <w:sz w:val="32"/>
          <w:szCs w:val="32"/>
          <w:rtl w:val="0"/>
          <w:lang w:val="en-US" w:eastAsia="zh-CN" w:bidi="ar-SA"/>
        </w:rPr>
      </w:pPr>
      <w:r>
        <w:rPr>
          <w:rFonts w:hint="eastAsia" w:ascii="仿宋_GB2312" w:hAnsi="Tahoma" w:eastAsia="仿宋_GB2312" w:cs="Times New Roman"/>
          <w:b w:val="0"/>
          <w:kern w:val="0"/>
          <w:sz w:val="32"/>
          <w:szCs w:val="32"/>
          <w:rtl w:val="0"/>
          <w:lang w:val="en-US" w:eastAsia="zh-CN" w:bidi="ar-SA"/>
        </w:rPr>
        <w:t>检查中，卫生监督员强调，各学校要进一步完善各类方案、预案；强化医务室、保健室的监督和管理，加强新冠肺炎、流感、诺如病毒等春季高发传染病的处置落实工作，将疫情防控纳入学校日常管理的重要内容，严把校门关，确保师生上好中小学及托幼机构2021年春季学期新冠肺炎疫情防控第一课。</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right"/>
        <w:textAlignment w:val="auto"/>
        <w:outlineLvl w:val="9"/>
        <w:rPr>
          <w:rFonts w:hint="eastAsia" w:ascii="仿宋_GB2312" w:hAnsi="Tahoma" w:eastAsia="仿宋_GB2312" w:cs="Times New Roman"/>
          <w:b w:val="0"/>
          <w:kern w:val="0"/>
          <w:sz w:val="32"/>
          <w:szCs w:val="32"/>
          <w:rtl w:val="0"/>
          <w:lang w:val="en-US" w:eastAsia="zh-CN" w:bidi="ar-SA"/>
        </w:rPr>
      </w:pPr>
      <w:r>
        <w:rPr>
          <w:rFonts w:hint="eastAsia" w:ascii="仿宋_GB2312" w:hAnsi="Tahoma" w:eastAsia="仿宋_GB2312" w:cs="Times New Roman"/>
          <w:b w:val="0"/>
          <w:kern w:val="0"/>
          <w:sz w:val="32"/>
          <w:szCs w:val="32"/>
          <w:rtl w:val="0"/>
          <w:lang w:val="en-US" w:eastAsia="zh-CN" w:bidi="ar-SA"/>
        </w:rPr>
        <w:t>（区卫生健康监督所）</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eastAsia" w:ascii="仿宋_GB2312" w:hAnsi="Tahoma" w:eastAsia="仿宋_GB2312" w:cs="Times New Roman"/>
          <w:b w:val="0"/>
          <w:kern w:val="0"/>
          <w:sz w:val="32"/>
          <w:szCs w:val="32"/>
          <w:rtl w:val="0"/>
          <w:lang w:val="en-US" w:eastAsia="zh-CN" w:bidi="ar-SA"/>
        </w:rPr>
      </w:pPr>
      <w:r>
        <w:rPr>
          <w:rFonts w:hint="eastAsia" w:ascii="黑体" w:hAnsi="黑体" w:eastAsia="黑体" w:cs="黑体"/>
          <w:b w:val="0"/>
          <w:kern w:val="0"/>
          <w:sz w:val="32"/>
          <w:szCs w:val="32"/>
          <w:rtl w:val="0"/>
          <w:lang w:val="en-US" w:eastAsia="zh-CN" w:bidi="ar-SA"/>
        </w:rPr>
        <w:t>广内社区卫生服务中心计划免疫接种门诊将实行手机分时段预约接种服务</w:t>
      </w:r>
      <w:r>
        <w:rPr>
          <w:rFonts w:hint="eastAsia" w:ascii="仿宋_GB2312" w:hAnsi="Tahoma" w:eastAsia="仿宋_GB2312" w:cs="Times New Roman"/>
          <w:b w:val="0"/>
          <w:kern w:val="0"/>
          <w:sz w:val="32"/>
          <w:szCs w:val="32"/>
          <w:rtl w:val="0"/>
          <w:lang w:val="en-US" w:eastAsia="zh-CN" w:bidi="ar-SA"/>
        </w:rPr>
        <w:t xml:space="preserve">  为方便预约儿童接种疫苗，引导人员错峰接种，减少排队等待时间，防止聚集，自3月1日起，广内社区卫生服务中心将全面实行“首都疫苗服务”APP手机线上分时段预约接种服务。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eastAsia" w:ascii="仿宋_GB2312" w:hAnsi="Tahoma" w:eastAsia="仿宋_GB2312" w:cs="Times New Roman"/>
          <w:b w:val="0"/>
          <w:kern w:val="0"/>
          <w:sz w:val="32"/>
          <w:szCs w:val="32"/>
          <w:rtl w:val="0"/>
          <w:lang w:val="en-US" w:eastAsia="zh-CN" w:bidi="ar-SA"/>
        </w:rPr>
      </w:pPr>
      <w:r>
        <w:rPr>
          <w:rFonts w:hint="eastAsia" w:ascii="仿宋_GB2312" w:hAnsi="Tahoma" w:eastAsia="仿宋_GB2312" w:cs="Times New Roman"/>
          <w:b w:val="0"/>
          <w:kern w:val="0"/>
          <w:sz w:val="32"/>
          <w:szCs w:val="32"/>
          <w:rtl w:val="0"/>
          <w:lang w:val="en-US" w:eastAsia="zh-CN" w:bidi="ar-SA"/>
        </w:rPr>
        <w:t>儿童家长根据与社区医生预约的下一次疫苗接种日期，提前一周登录“首都疫苗服务”APP进行网上预约。预约接种服务时输入预约日期后，自主选择接种时段；如果预约当日名额已满，可顺延至下一个门诊开放日继续预约。门诊开放日对所有儿童疫苗预约种类均不设限制，家长可根据需求，自主选择符合免疫规划程序的预防接种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eastAsia" w:ascii="仿宋_GB2312" w:hAnsi="Tahoma" w:eastAsia="仿宋_GB2312" w:cs="Times New Roman"/>
          <w:b w:val="0"/>
          <w:kern w:val="0"/>
          <w:sz w:val="32"/>
          <w:szCs w:val="32"/>
          <w:rtl w:val="0"/>
          <w:lang w:val="en-US" w:eastAsia="zh-CN" w:bidi="ar-SA"/>
        </w:rPr>
      </w:pPr>
      <w:r>
        <w:rPr>
          <w:rFonts w:hint="eastAsia" w:ascii="仿宋_GB2312" w:hAnsi="Tahoma" w:eastAsia="仿宋_GB2312" w:cs="Times New Roman"/>
          <w:b w:val="0"/>
          <w:kern w:val="0"/>
          <w:sz w:val="32"/>
          <w:szCs w:val="32"/>
          <w:rtl w:val="0"/>
          <w:lang w:val="en-US" w:eastAsia="zh-CN" w:bidi="ar-SA"/>
        </w:rPr>
        <w:t>手机预约疫苗接种服务，进一步深化了预防接种服务内涵，为居民提供了更加智慧化、规范化的预防接种服务。一直以来，广内社区卫生服务中心不断优化计划免疫接种门诊信息化建设，在做好疫情防控常态化的同时，依据便民服务的原则，采用线上手机APP预约模式，减少儿童家长多次往返于门诊预约疫苗等问题，持续推动提升门诊服务品质和管理水平。</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right"/>
        <w:textAlignment w:val="auto"/>
        <w:outlineLvl w:val="9"/>
        <w:rPr>
          <w:rFonts w:hint="eastAsia" w:ascii="仿宋_GB2312" w:hAnsi="Tahoma" w:eastAsia="仿宋_GB2312" w:cs="Times New Roman"/>
          <w:b w:val="0"/>
          <w:kern w:val="0"/>
          <w:sz w:val="32"/>
          <w:szCs w:val="32"/>
          <w:rtl w:val="0"/>
          <w:lang w:val="en-US" w:eastAsia="zh-CN" w:bidi="ar-SA"/>
        </w:rPr>
      </w:pPr>
      <w:r>
        <w:rPr>
          <w:rFonts w:hint="eastAsia" w:ascii="仿宋_GB2312" w:hAnsi="Tahoma" w:eastAsia="仿宋_GB2312" w:cs="Times New Roman"/>
          <w:b w:val="0"/>
          <w:kern w:val="0"/>
          <w:sz w:val="32"/>
          <w:szCs w:val="32"/>
          <w:rtl w:val="0"/>
          <w:lang w:val="en-US" w:eastAsia="zh-CN" w:bidi="ar-SA"/>
        </w:rPr>
        <w:t>（广内社区卫生服务中心）</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eastAsia" w:ascii="仿宋_GB2312" w:hAnsi="Tahoma" w:eastAsia="仿宋_GB2312" w:cs="Times New Roman"/>
          <w:b w:val="0"/>
          <w:kern w:val="0"/>
          <w:sz w:val="32"/>
          <w:szCs w:val="32"/>
          <w:rtl w:val="0"/>
          <w:lang w:val="en-US" w:eastAsia="zh-CN" w:bidi="ar-SA"/>
        </w:rPr>
      </w:pPr>
      <w:r>
        <w:rPr>
          <w:rFonts w:hint="eastAsia" w:ascii="黑体" w:hAnsi="黑体" w:eastAsia="黑体" w:cs="黑体"/>
          <w:b w:val="0"/>
          <w:kern w:val="0"/>
          <w:sz w:val="32"/>
          <w:szCs w:val="32"/>
          <w:rtl w:val="0"/>
          <w:lang w:val="en-US" w:eastAsia="zh-CN" w:bidi="ar-SA"/>
        </w:rPr>
        <w:t>新街口社区卫生服务中心召开精防关爱帮扶小组信息共享会</w:t>
      </w:r>
      <w:r>
        <w:rPr>
          <w:rFonts w:hint="eastAsia" w:ascii="仿宋_GB2312" w:hAnsi="Tahoma" w:eastAsia="仿宋_GB2312" w:cs="Times New Roman"/>
          <w:b w:val="0"/>
          <w:kern w:val="0"/>
          <w:sz w:val="32"/>
          <w:szCs w:val="32"/>
          <w:rtl w:val="0"/>
          <w:lang w:val="en-US" w:eastAsia="zh-CN" w:bidi="ar-SA"/>
        </w:rPr>
        <w:t xml:space="preserve">  为做好全国“两会”期间社区安全稳定工作，近日，新街口社区卫生服务中心精神卫生科对辖区内登记有严重精神障碍患者的社区居委会分别召开精防关爱帮扶小组信息共享会。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eastAsia" w:ascii="仿宋_GB2312" w:hAnsi="Tahoma" w:eastAsia="仿宋_GB2312" w:cs="Times New Roman"/>
          <w:b w:val="0"/>
          <w:kern w:val="0"/>
          <w:sz w:val="32"/>
          <w:szCs w:val="32"/>
          <w:rtl w:val="0"/>
          <w:lang w:val="en-US" w:eastAsia="zh-CN" w:bidi="ar-SA"/>
        </w:rPr>
      </w:pPr>
      <w:r>
        <w:rPr>
          <w:rFonts w:hint="eastAsia" w:ascii="仿宋_GB2312" w:hAnsi="Tahoma" w:eastAsia="仿宋_GB2312" w:cs="Times New Roman"/>
          <w:b w:val="0"/>
          <w:kern w:val="0"/>
          <w:sz w:val="32"/>
          <w:szCs w:val="32"/>
          <w:rtl w:val="0"/>
          <w:lang w:val="en-US" w:eastAsia="zh-CN" w:bidi="ar-SA"/>
        </w:rPr>
        <w:t>会上，中心精防科科长向社区工作人员进行了精神卫生应急培训及案例推演会，特别对严重精神障碍患者突发情况处置及入户访视流程等事项进行了经验分享。此外，为更好地掌握辖区精神疾病患者的具体情况，中心精防科还联同居委会进行了专项入户调查摸底排查工作，为新街口地区“两会”期间精神卫生保障工作奠定了详实的数据基础。</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eastAsia" w:ascii="仿宋_GB2312" w:hAnsi="Tahoma" w:eastAsia="仿宋_GB2312" w:cs="Times New Roman"/>
          <w:b w:val="0"/>
          <w:kern w:val="0"/>
          <w:sz w:val="32"/>
          <w:szCs w:val="32"/>
          <w:rtl w:val="0"/>
          <w:lang w:val="en-US" w:eastAsia="zh-CN" w:bidi="ar-SA"/>
        </w:rPr>
      </w:pPr>
      <w:r>
        <w:rPr>
          <w:rFonts w:hint="eastAsia" w:ascii="仿宋_GB2312" w:hAnsi="Tahoma" w:eastAsia="仿宋_GB2312" w:cs="Times New Roman"/>
          <w:b w:val="0"/>
          <w:kern w:val="0"/>
          <w:sz w:val="32"/>
          <w:szCs w:val="32"/>
          <w:rtl w:val="0"/>
          <w:lang w:val="en-US" w:eastAsia="zh-CN" w:bidi="ar-SA"/>
        </w:rPr>
        <w:t>下一步，新街口社区卫生服务中心精神卫生科会将把</w:t>
      </w:r>
      <w:bookmarkStart w:id="0" w:name="_GoBack"/>
      <w:bookmarkEnd w:id="0"/>
      <w:r>
        <w:rPr>
          <w:rFonts w:hint="eastAsia" w:ascii="仿宋_GB2312" w:hAnsi="Tahoma" w:eastAsia="仿宋_GB2312" w:cs="Times New Roman"/>
          <w:b w:val="0"/>
          <w:kern w:val="0"/>
          <w:sz w:val="32"/>
          <w:szCs w:val="32"/>
          <w:rtl w:val="0"/>
          <w:lang w:val="en-US" w:eastAsia="zh-CN" w:bidi="ar-SA"/>
        </w:rPr>
        <w:t>此项工作纳入日常工作，对严重精神障碍患者进行常态化管理，保障社区长期安全稳定，尽职尽责做好居民的健康“守门人”。</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right"/>
        <w:textAlignment w:val="auto"/>
        <w:outlineLvl w:val="9"/>
        <w:rPr>
          <w:rFonts w:hint="eastAsia" w:ascii="仿宋_GB2312" w:hAnsi="Tahoma" w:eastAsia="仿宋_GB2312" w:cs="Times New Roman"/>
          <w:b w:val="0"/>
          <w:kern w:val="0"/>
          <w:sz w:val="32"/>
          <w:szCs w:val="32"/>
          <w:rtl w:val="0"/>
          <w:lang w:val="en-US" w:eastAsia="zh-CN" w:bidi="ar-SA"/>
        </w:rPr>
      </w:pPr>
      <w:r>
        <w:rPr>
          <w:rFonts w:hint="eastAsia" w:ascii="仿宋_GB2312" w:hAnsi="Tahoma" w:eastAsia="仿宋_GB2312" w:cs="Times New Roman"/>
          <w:b w:val="0"/>
          <w:kern w:val="0"/>
          <w:sz w:val="32"/>
          <w:szCs w:val="32"/>
          <w:rtl w:val="0"/>
          <w:lang w:val="en-US" w:eastAsia="zh-CN" w:bidi="ar-SA"/>
        </w:rPr>
        <w:t>(新街口社区卫生服务中心)</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eastAsia" w:ascii="仿宋_GB2312" w:hAnsi="Tahoma" w:eastAsia="仿宋_GB2312" w:cs="Times New Roman"/>
          <w:b w:val="0"/>
          <w:kern w:val="0"/>
          <w:sz w:val="32"/>
          <w:szCs w:val="32"/>
          <w:rtl w:val="0"/>
          <w:lang w:val="en-US" w:eastAsia="zh-CN" w:bidi="ar-SA"/>
        </w:rPr>
      </w:pPr>
      <w:r>
        <w:rPr>
          <w:rFonts w:hint="eastAsia" w:ascii="黑体" w:hAnsi="黑体" w:eastAsia="黑体" w:cs="黑体"/>
          <w:b w:val="0"/>
          <w:kern w:val="0"/>
          <w:sz w:val="32"/>
          <w:szCs w:val="32"/>
          <w:rtl w:val="0"/>
          <w:lang w:val="en-US" w:eastAsia="zh-CN" w:bidi="ar-SA"/>
        </w:rPr>
        <w:t>陶然亭社区卫生服务中心党支部开展2020年度“学习强国”学习标兵表彰主题党日活动</w:t>
      </w:r>
      <w:r>
        <w:rPr>
          <w:rFonts w:hint="eastAsia" w:ascii="仿宋_GB2312" w:hAnsi="Tahoma" w:eastAsia="仿宋_GB2312" w:cs="Times New Roman"/>
          <w:b w:val="0"/>
          <w:kern w:val="0"/>
          <w:sz w:val="32"/>
          <w:szCs w:val="32"/>
          <w:rtl w:val="0"/>
          <w:lang w:val="en-US" w:eastAsia="zh-CN" w:bidi="ar-SA"/>
        </w:rPr>
        <w:t xml:space="preserve">  为提升党员干部素质和理论水平，增强基层党组织的凝聚力，近日，陶然亭社区卫生服务中心党支部积极开展2020年度“学习强国”学习标兵表彰主题党日活动。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eastAsia" w:ascii="仿宋_GB2312" w:hAnsi="Tahoma" w:eastAsia="仿宋_GB2312" w:cs="Times New Roman"/>
          <w:b w:val="0"/>
          <w:kern w:val="0"/>
          <w:sz w:val="32"/>
          <w:szCs w:val="32"/>
          <w:rtl w:val="0"/>
          <w:lang w:val="en-US" w:eastAsia="zh-CN" w:bidi="ar-SA"/>
        </w:rPr>
      </w:pPr>
      <w:r>
        <w:rPr>
          <w:rFonts w:hint="eastAsia" w:ascii="仿宋_GB2312" w:hAnsi="Tahoma" w:eastAsia="仿宋_GB2312" w:cs="Times New Roman"/>
          <w:b w:val="0"/>
          <w:kern w:val="0"/>
          <w:sz w:val="32"/>
          <w:szCs w:val="32"/>
          <w:rtl w:val="0"/>
          <w:lang w:val="en-US" w:eastAsia="zh-CN" w:bidi="ar-SA"/>
        </w:rPr>
        <w:t>会上，中心党支部书记总结了2020年党员在“学习强国”客户端上的学习情况，按照党员个人2020年度积分排名情况，对已参加学习且排在前11位的党员进行表彰并授予“学习标兵”荣誉称号。</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eastAsia" w:ascii="仿宋_GB2312" w:hAnsi="Tahoma" w:eastAsia="仿宋_GB2312" w:cs="Times New Roman"/>
          <w:b w:val="0"/>
          <w:kern w:val="0"/>
          <w:sz w:val="32"/>
          <w:szCs w:val="32"/>
          <w:rtl w:val="0"/>
          <w:lang w:val="en-US" w:eastAsia="zh-CN" w:bidi="ar-SA"/>
        </w:rPr>
      </w:pPr>
      <w:r>
        <w:rPr>
          <w:rFonts w:hint="eastAsia" w:ascii="仿宋_GB2312" w:hAnsi="Tahoma" w:eastAsia="仿宋_GB2312" w:cs="Times New Roman"/>
          <w:b w:val="0"/>
          <w:kern w:val="0"/>
          <w:sz w:val="32"/>
          <w:szCs w:val="32"/>
          <w:rtl w:val="0"/>
          <w:lang w:val="en-US" w:eastAsia="zh-CN" w:bidi="ar-SA"/>
        </w:rPr>
        <w:t>中心党支部书记表示，希望受表彰的同志珍惜荣誉、再接再厉，发挥模范带头作用，同时要求全体党员继续努力，进一步强化学习，不断提升学习效果，提高政治站位。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eastAsia" w:ascii="仿宋_GB2312" w:hAnsi="Tahoma" w:eastAsia="仿宋_GB2312" w:cs="Times New Roman"/>
          <w:b w:val="0"/>
          <w:kern w:val="0"/>
          <w:sz w:val="32"/>
          <w:szCs w:val="32"/>
          <w:rtl w:val="0"/>
          <w:lang w:val="en-US" w:eastAsia="zh-CN" w:bidi="ar-SA"/>
        </w:rPr>
      </w:pPr>
      <w:r>
        <w:rPr>
          <w:rFonts w:hint="eastAsia" w:ascii="仿宋_GB2312" w:hAnsi="Tahoma" w:eastAsia="仿宋_GB2312" w:cs="Times New Roman"/>
          <w:b w:val="0"/>
          <w:kern w:val="0"/>
          <w:sz w:val="32"/>
          <w:szCs w:val="32"/>
          <w:rtl w:val="0"/>
          <w:lang w:val="en-US" w:eastAsia="zh-CN" w:bidi="ar-SA"/>
        </w:rPr>
        <w:t>此次主题党日活动旨在切实推动学习贯彻习近平新时代中国特色社会主义思想往深里走、往实里走、往心里走，激发党员由“要我学”转变成“我要学”的积极性，吸引更多党员参与到学习中来，提高“学习强国”的覆盖率、使用率，在传递党的声音的同时，让习近平新时代中国特色社会主义思想扎根基层，强化理论水平，形成“比、学、赶、帮、超”的理论学习氛围。                     （陶然亭社区卫生服务中心）</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eastAsia" w:ascii="仿宋_GB2312" w:hAnsi="Tahoma" w:eastAsia="仿宋_GB2312" w:cs="Times New Roman"/>
          <w:b w:val="0"/>
          <w:kern w:val="0"/>
          <w:sz w:val="32"/>
          <w:szCs w:val="32"/>
          <w:u w:val="single"/>
          <w:rtl w:val="0"/>
          <w:lang w:val="en-US" w:eastAsia="zh-CN" w:bidi="ar-SA"/>
        </w:rPr>
      </w:pPr>
    </w:p>
    <w:p>
      <w:pPr>
        <w:pStyle w:val="2"/>
        <w:rPr>
          <w:rFonts w:hint="eastAsia" w:ascii="仿宋_GB2312" w:hAnsi="Tahoma" w:eastAsia="仿宋_GB2312" w:cs="Times New Roman"/>
          <w:b w:val="0"/>
          <w:kern w:val="0"/>
          <w:sz w:val="32"/>
          <w:szCs w:val="32"/>
          <w:u w:val="single"/>
          <w:rtl w:val="0"/>
          <w:lang w:val="en-US" w:eastAsia="zh-CN" w:bidi="ar-SA"/>
        </w:rPr>
      </w:pPr>
    </w:p>
    <w:p>
      <w:pPr>
        <w:pStyle w:val="2"/>
        <w:rPr>
          <w:rFonts w:hint="eastAsia" w:ascii="仿宋_GB2312" w:hAnsi="Tahoma" w:eastAsia="仿宋_GB2312" w:cs="Times New Roman"/>
          <w:b w:val="0"/>
          <w:kern w:val="0"/>
          <w:sz w:val="32"/>
          <w:szCs w:val="32"/>
          <w:u w:val="single"/>
          <w:rtl w:val="0"/>
          <w:lang w:val="en-US" w:eastAsia="zh-CN" w:bidi="ar-SA"/>
        </w:rPr>
      </w:pPr>
    </w:p>
    <w:p>
      <w:pPr>
        <w:pStyle w:val="2"/>
        <w:rPr>
          <w:rFonts w:hint="eastAsia" w:ascii="仿宋_GB2312" w:hAnsi="Tahoma" w:eastAsia="仿宋_GB2312" w:cs="Times New Roman"/>
          <w:b w:val="0"/>
          <w:kern w:val="0"/>
          <w:sz w:val="32"/>
          <w:szCs w:val="32"/>
          <w:u w:val="single"/>
          <w:rtl w:val="0"/>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ascii="仿宋" w:hAnsi="仿宋" w:eastAsia="仿宋"/>
          <w:color w:val="000000"/>
          <w:sz w:val="32"/>
          <w:szCs w:val="32"/>
          <w:u w:val="single"/>
        </w:rPr>
      </w:pPr>
      <w:r>
        <w:rPr>
          <w:rFonts w:hint="eastAsia" w:ascii="仿宋_GB2312" w:hAnsi="Tahoma" w:eastAsia="仿宋_GB2312" w:cs="Times New Roman"/>
          <w:b w:val="0"/>
          <w:kern w:val="0"/>
          <w:sz w:val="32"/>
          <w:szCs w:val="32"/>
          <w:u w:val="single"/>
          <w:rtl w:val="0"/>
          <w:lang w:val="en-US" w:eastAsia="zh-CN" w:bidi="ar-SA"/>
        </w:rPr>
        <w:t xml:space="preserve">编印：田娜                          </w:t>
      </w:r>
      <w:r>
        <w:rPr>
          <w:rFonts w:hint="eastAsia" w:ascii="仿宋" w:hAnsi="仿宋" w:eastAsia="仿宋" w:cs="仿宋_GB2312"/>
          <w:color w:val="000000"/>
          <w:sz w:val="32"/>
          <w:szCs w:val="32"/>
          <w:u w:val="single"/>
        </w:rPr>
        <w:t xml:space="preserve">      </w:t>
      </w:r>
      <w:r>
        <w:rPr>
          <w:rFonts w:ascii="仿宋" w:hAnsi="仿宋" w:eastAsia="仿宋" w:cs="仿宋_GB2312"/>
          <w:color w:val="000000"/>
          <w:sz w:val="32"/>
          <w:szCs w:val="32"/>
          <w:u w:val="single"/>
        </w:rPr>
        <w:t xml:space="preserve"> </w:t>
      </w:r>
      <w:r>
        <w:rPr>
          <w:rFonts w:hint="eastAsia" w:ascii="仿宋" w:hAnsi="仿宋" w:eastAsia="仿宋" w:cs="仿宋_GB2312"/>
          <w:color w:val="000000"/>
          <w:sz w:val="32"/>
          <w:szCs w:val="32"/>
          <w:u w:val="single"/>
        </w:rPr>
        <w:t>核签：安梅</w:t>
      </w:r>
    </w:p>
    <w:p>
      <w:pPr>
        <w:spacing w:line="480" w:lineRule="exact"/>
        <w:rPr>
          <w:rFonts w:hint="default" w:eastAsia="仿宋"/>
          <w:lang w:val="en-US" w:eastAsia="zh-CN"/>
        </w:rPr>
      </w:pPr>
      <w:r>
        <w:rPr>
          <w:rFonts w:hint="eastAsia" w:ascii="仿宋" w:hAnsi="仿宋" w:eastAsia="仿宋" w:cs="仿宋_GB2312"/>
          <w:color w:val="000000"/>
          <w:sz w:val="32"/>
          <w:szCs w:val="32"/>
        </w:rPr>
        <w:t>联系电话：</w:t>
      </w:r>
      <w:r>
        <w:rPr>
          <w:rFonts w:ascii="仿宋" w:hAnsi="仿宋" w:eastAsia="仿宋" w:cs="仿宋_GB2312"/>
          <w:sz w:val="32"/>
          <w:szCs w:val="32"/>
        </w:rPr>
        <w:t>83365</w:t>
      </w:r>
      <w:r>
        <w:rPr>
          <w:rFonts w:hint="eastAsia" w:ascii="仿宋" w:hAnsi="仿宋" w:eastAsia="仿宋" w:cs="仿宋_GB2312"/>
          <w:sz w:val="32"/>
          <w:szCs w:val="32"/>
          <w:lang w:val="en-US" w:eastAsia="zh-CN"/>
        </w:rPr>
        <w:t>527</w:t>
      </w:r>
    </w:p>
    <w:sectPr>
      <w:footerReference r:id="rId3" w:type="default"/>
      <w:pgSz w:w="11906" w:h="16838"/>
      <w:pgMar w:top="1361" w:right="1418" w:bottom="1361" w:left="1701"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fldChar w:fldCharType="begin"/>
    </w:r>
    <w:r>
      <w:rPr>
        <w:rStyle w:val="15"/>
        <w:rFonts w:ascii="Times New Roman" w:hAnsi="Times New Roman"/>
      </w:rPr>
      <w:instrText xml:space="preserve">PAGE  </w:instrText>
    </w:r>
    <w:r>
      <w:fldChar w:fldCharType="separate"/>
    </w:r>
    <w:r>
      <w:rPr>
        <w:rStyle w:val="15"/>
        <w:rFonts w:ascii="Times New Roman" w:hAnsi="Times New Roman"/>
      </w:rPr>
      <w:t>7</w:t>
    </w:r>
    <w:r>
      <w:fldChar w:fldCharType="end"/>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DE6F32"/>
    <w:rsid w:val="004D3E68"/>
    <w:rsid w:val="006C5854"/>
    <w:rsid w:val="00B73F9C"/>
    <w:rsid w:val="01231581"/>
    <w:rsid w:val="013378A0"/>
    <w:rsid w:val="01C464D7"/>
    <w:rsid w:val="02240C1C"/>
    <w:rsid w:val="02723831"/>
    <w:rsid w:val="02F5515F"/>
    <w:rsid w:val="033D360E"/>
    <w:rsid w:val="03464E5D"/>
    <w:rsid w:val="034B456D"/>
    <w:rsid w:val="03933170"/>
    <w:rsid w:val="03C71500"/>
    <w:rsid w:val="0424244F"/>
    <w:rsid w:val="04A80027"/>
    <w:rsid w:val="04B04FBA"/>
    <w:rsid w:val="05145A42"/>
    <w:rsid w:val="05846E78"/>
    <w:rsid w:val="06213648"/>
    <w:rsid w:val="062A3994"/>
    <w:rsid w:val="06982496"/>
    <w:rsid w:val="078D5B51"/>
    <w:rsid w:val="079A4974"/>
    <w:rsid w:val="080D3324"/>
    <w:rsid w:val="08F25FA0"/>
    <w:rsid w:val="091E4958"/>
    <w:rsid w:val="096A169D"/>
    <w:rsid w:val="09EC33C3"/>
    <w:rsid w:val="0A183679"/>
    <w:rsid w:val="0A4B4D9A"/>
    <w:rsid w:val="0A7A7069"/>
    <w:rsid w:val="0ABB73A2"/>
    <w:rsid w:val="0ADF6543"/>
    <w:rsid w:val="0B22701C"/>
    <w:rsid w:val="0BA570A7"/>
    <w:rsid w:val="0BFC1B52"/>
    <w:rsid w:val="0C316141"/>
    <w:rsid w:val="0C485384"/>
    <w:rsid w:val="0C9E71F0"/>
    <w:rsid w:val="0CC7467F"/>
    <w:rsid w:val="0CDA70B8"/>
    <w:rsid w:val="0D5827CF"/>
    <w:rsid w:val="0D7C2C15"/>
    <w:rsid w:val="0E290B18"/>
    <w:rsid w:val="0E2B6C15"/>
    <w:rsid w:val="0F6331FA"/>
    <w:rsid w:val="1003773D"/>
    <w:rsid w:val="1011437D"/>
    <w:rsid w:val="101C2A74"/>
    <w:rsid w:val="103C6A4B"/>
    <w:rsid w:val="10596A6B"/>
    <w:rsid w:val="10CD1A13"/>
    <w:rsid w:val="113C378A"/>
    <w:rsid w:val="11BC6EE1"/>
    <w:rsid w:val="122C4414"/>
    <w:rsid w:val="13D32240"/>
    <w:rsid w:val="140164AF"/>
    <w:rsid w:val="140912D5"/>
    <w:rsid w:val="144430D0"/>
    <w:rsid w:val="147A64FC"/>
    <w:rsid w:val="149E29D3"/>
    <w:rsid w:val="14C4723D"/>
    <w:rsid w:val="14DC3ADC"/>
    <w:rsid w:val="15482421"/>
    <w:rsid w:val="1554059F"/>
    <w:rsid w:val="156974C0"/>
    <w:rsid w:val="156C6FF4"/>
    <w:rsid w:val="15993DED"/>
    <w:rsid w:val="15A00C7C"/>
    <w:rsid w:val="15A37597"/>
    <w:rsid w:val="16B83679"/>
    <w:rsid w:val="171C77D4"/>
    <w:rsid w:val="17B757A7"/>
    <w:rsid w:val="17CE43A1"/>
    <w:rsid w:val="18702CD7"/>
    <w:rsid w:val="187B2722"/>
    <w:rsid w:val="190409C0"/>
    <w:rsid w:val="197B6035"/>
    <w:rsid w:val="19B82035"/>
    <w:rsid w:val="19C009D1"/>
    <w:rsid w:val="19C96C1D"/>
    <w:rsid w:val="1A6957B1"/>
    <w:rsid w:val="1B147833"/>
    <w:rsid w:val="1B2F1DCA"/>
    <w:rsid w:val="1C0D5392"/>
    <w:rsid w:val="1CBF19E3"/>
    <w:rsid w:val="1CCD4801"/>
    <w:rsid w:val="1D3937F1"/>
    <w:rsid w:val="1DE8199A"/>
    <w:rsid w:val="1E1D716E"/>
    <w:rsid w:val="1E2E6F43"/>
    <w:rsid w:val="1FC60422"/>
    <w:rsid w:val="1FC84BE9"/>
    <w:rsid w:val="202F44FB"/>
    <w:rsid w:val="20757497"/>
    <w:rsid w:val="21AF2151"/>
    <w:rsid w:val="21D15091"/>
    <w:rsid w:val="222946A0"/>
    <w:rsid w:val="228522DA"/>
    <w:rsid w:val="22880F7F"/>
    <w:rsid w:val="22CB6B61"/>
    <w:rsid w:val="22DD5B65"/>
    <w:rsid w:val="22E57AB4"/>
    <w:rsid w:val="23414215"/>
    <w:rsid w:val="23562D1B"/>
    <w:rsid w:val="236E149E"/>
    <w:rsid w:val="23711F18"/>
    <w:rsid w:val="2407062B"/>
    <w:rsid w:val="24C11243"/>
    <w:rsid w:val="254F22B2"/>
    <w:rsid w:val="2692386D"/>
    <w:rsid w:val="26A926B5"/>
    <w:rsid w:val="26C463F7"/>
    <w:rsid w:val="276679B1"/>
    <w:rsid w:val="276E4513"/>
    <w:rsid w:val="27C442E8"/>
    <w:rsid w:val="27C76780"/>
    <w:rsid w:val="28720413"/>
    <w:rsid w:val="28943B78"/>
    <w:rsid w:val="28D922D8"/>
    <w:rsid w:val="28E56845"/>
    <w:rsid w:val="2921641A"/>
    <w:rsid w:val="29CD2066"/>
    <w:rsid w:val="2A4C503B"/>
    <w:rsid w:val="2B5C183E"/>
    <w:rsid w:val="2B9C5AD2"/>
    <w:rsid w:val="2C1448D0"/>
    <w:rsid w:val="2D473985"/>
    <w:rsid w:val="2D4E2207"/>
    <w:rsid w:val="2D5E534F"/>
    <w:rsid w:val="2D7C28FA"/>
    <w:rsid w:val="2E1E1A62"/>
    <w:rsid w:val="2E8D7C09"/>
    <w:rsid w:val="2EFF0777"/>
    <w:rsid w:val="2F1726EC"/>
    <w:rsid w:val="2F4236BF"/>
    <w:rsid w:val="2F950F6A"/>
    <w:rsid w:val="2F956F08"/>
    <w:rsid w:val="308D191B"/>
    <w:rsid w:val="316B0761"/>
    <w:rsid w:val="31E8008A"/>
    <w:rsid w:val="32692419"/>
    <w:rsid w:val="327D2B3F"/>
    <w:rsid w:val="32883B73"/>
    <w:rsid w:val="328A7B67"/>
    <w:rsid w:val="33393CD8"/>
    <w:rsid w:val="34694A9E"/>
    <w:rsid w:val="34802215"/>
    <w:rsid w:val="348538C9"/>
    <w:rsid w:val="35312D34"/>
    <w:rsid w:val="357E479C"/>
    <w:rsid w:val="35C62CD5"/>
    <w:rsid w:val="36EC486B"/>
    <w:rsid w:val="37B40E9F"/>
    <w:rsid w:val="37E71B16"/>
    <w:rsid w:val="386459CA"/>
    <w:rsid w:val="38782E70"/>
    <w:rsid w:val="38C7445A"/>
    <w:rsid w:val="38FC241A"/>
    <w:rsid w:val="3A1A2FBB"/>
    <w:rsid w:val="3AB30912"/>
    <w:rsid w:val="3C324137"/>
    <w:rsid w:val="3C46512B"/>
    <w:rsid w:val="3C61482D"/>
    <w:rsid w:val="3C91156D"/>
    <w:rsid w:val="3CD06AF5"/>
    <w:rsid w:val="3E1B3607"/>
    <w:rsid w:val="3E7508DF"/>
    <w:rsid w:val="3EDC5141"/>
    <w:rsid w:val="3F0668A0"/>
    <w:rsid w:val="3F2A34EC"/>
    <w:rsid w:val="3F2B76E1"/>
    <w:rsid w:val="3FBD3ADD"/>
    <w:rsid w:val="408C21E8"/>
    <w:rsid w:val="40B03B04"/>
    <w:rsid w:val="40B31CC6"/>
    <w:rsid w:val="410F570C"/>
    <w:rsid w:val="42D12854"/>
    <w:rsid w:val="42D35AEB"/>
    <w:rsid w:val="4331528A"/>
    <w:rsid w:val="43821D66"/>
    <w:rsid w:val="43D50022"/>
    <w:rsid w:val="43E94548"/>
    <w:rsid w:val="43EE2ED8"/>
    <w:rsid w:val="44BC1FE6"/>
    <w:rsid w:val="45047A3F"/>
    <w:rsid w:val="45667DDA"/>
    <w:rsid w:val="4608327C"/>
    <w:rsid w:val="462C2CEF"/>
    <w:rsid w:val="468C65E1"/>
    <w:rsid w:val="47067E44"/>
    <w:rsid w:val="478A4D15"/>
    <w:rsid w:val="47C23F20"/>
    <w:rsid w:val="47D1333D"/>
    <w:rsid w:val="47FD6072"/>
    <w:rsid w:val="488868D7"/>
    <w:rsid w:val="48E4507B"/>
    <w:rsid w:val="498E2F99"/>
    <w:rsid w:val="49AF2854"/>
    <w:rsid w:val="4A220F72"/>
    <w:rsid w:val="4A2B780F"/>
    <w:rsid w:val="4B014D18"/>
    <w:rsid w:val="4B5A76A7"/>
    <w:rsid w:val="4BFA6878"/>
    <w:rsid w:val="4C765194"/>
    <w:rsid w:val="4CB210D4"/>
    <w:rsid w:val="4D1665E9"/>
    <w:rsid w:val="4ED54C2D"/>
    <w:rsid w:val="4FA03C4F"/>
    <w:rsid w:val="4FC53797"/>
    <w:rsid w:val="4FD34DE1"/>
    <w:rsid w:val="50165FF1"/>
    <w:rsid w:val="501C3C82"/>
    <w:rsid w:val="50664CF1"/>
    <w:rsid w:val="50C91EB4"/>
    <w:rsid w:val="50F95A2B"/>
    <w:rsid w:val="51F52628"/>
    <w:rsid w:val="52017D0A"/>
    <w:rsid w:val="52303F34"/>
    <w:rsid w:val="52781152"/>
    <w:rsid w:val="52AF1E02"/>
    <w:rsid w:val="55011686"/>
    <w:rsid w:val="55D778BB"/>
    <w:rsid w:val="562A1430"/>
    <w:rsid w:val="5648228F"/>
    <w:rsid w:val="56AA41EA"/>
    <w:rsid w:val="56C40446"/>
    <w:rsid w:val="56E12371"/>
    <w:rsid w:val="570B600C"/>
    <w:rsid w:val="57EB0C74"/>
    <w:rsid w:val="58586603"/>
    <w:rsid w:val="589609F9"/>
    <w:rsid w:val="58B252D3"/>
    <w:rsid w:val="58CB57C3"/>
    <w:rsid w:val="58DE6F32"/>
    <w:rsid w:val="5AA80610"/>
    <w:rsid w:val="5AC26E8A"/>
    <w:rsid w:val="5B0603C1"/>
    <w:rsid w:val="5BF45758"/>
    <w:rsid w:val="5C72178E"/>
    <w:rsid w:val="5CD12F43"/>
    <w:rsid w:val="5CF307F1"/>
    <w:rsid w:val="5CFF0EBC"/>
    <w:rsid w:val="5D615E7D"/>
    <w:rsid w:val="5D871EDE"/>
    <w:rsid w:val="5D8E27F2"/>
    <w:rsid w:val="5D9D0C1F"/>
    <w:rsid w:val="5DDC7E4B"/>
    <w:rsid w:val="5E190788"/>
    <w:rsid w:val="5EB425DF"/>
    <w:rsid w:val="5EE76C4A"/>
    <w:rsid w:val="5EED1BB4"/>
    <w:rsid w:val="5EF0258A"/>
    <w:rsid w:val="5F0371D6"/>
    <w:rsid w:val="5FD25C7A"/>
    <w:rsid w:val="60355CE3"/>
    <w:rsid w:val="60544B1B"/>
    <w:rsid w:val="60DE7D93"/>
    <w:rsid w:val="617426DE"/>
    <w:rsid w:val="61795C8F"/>
    <w:rsid w:val="61904149"/>
    <w:rsid w:val="62290810"/>
    <w:rsid w:val="62BC1D59"/>
    <w:rsid w:val="62EB4DCC"/>
    <w:rsid w:val="62F036E7"/>
    <w:rsid w:val="630443D9"/>
    <w:rsid w:val="63863495"/>
    <w:rsid w:val="64980C42"/>
    <w:rsid w:val="64D67C05"/>
    <w:rsid w:val="651A7F3E"/>
    <w:rsid w:val="651F5BCD"/>
    <w:rsid w:val="65D55A5A"/>
    <w:rsid w:val="65FA5150"/>
    <w:rsid w:val="6621401E"/>
    <w:rsid w:val="664D2EE1"/>
    <w:rsid w:val="67644BBE"/>
    <w:rsid w:val="680C581F"/>
    <w:rsid w:val="68240FDF"/>
    <w:rsid w:val="685B323E"/>
    <w:rsid w:val="689C6B7A"/>
    <w:rsid w:val="68A34C31"/>
    <w:rsid w:val="69424476"/>
    <w:rsid w:val="69E84E5B"/>
    <w:rsid w:val="69E85A54"/>
    <w:rsid w:val="6AFD605B"/>
    <w:rsid w:val="6C3B1FBA"/>
    <w:rsid w:val="6C5B692A"/>
    <w:rsid w:val="6CBC592C"/>
    <w:rsid w:val="6D156376"/>
    <w:rsid w:val="6E460F3E"/>
    <w:rsid w:val="6E5030DC"/>
    <w:rsid w:val="6E542192"/>
    <w:rsid w:val="6E671A0E"/>
    <w:rsid w:val="6F2A0CC5"/>
    <w:rsid w:val="6F4C2848"/>
    <w:rsid w:val="6F5339CB"/>
    <w:rsid w:val="6F690337"/>
    <w:rsid w:val="6FF823DF"/>
    <w:rsid w:val="7000323E"/>
    <w:rsid w:val="713741CB"/>
    <w:rsid w:val="71835EE9"/>
    <w:rsid w:val="71B42FDE"/>
    <w:rsid w:val="723C7D32"/>
    <w:rsid w:val="73123028"/>
    <w:rsid w:val="73C76557"/>
    <w:rsid w:val="73D23D53"/>
    <w:rsid w:val="74A601ED"/>
    <w:rsid w:val="75DC2B27"/>
    <w:rsid w:val="762A4B6B"/>
    <w:rsid w:val="76347A10"/>
    <w:rsid w:val="764145BD"/>
    <w:rsid w:val="76B555B4"/>
    <w:rsid w:val="76BD7700"/>
    <w:rsid w:val="77540928"/>
    <w:rsid w:val="77771688"/>
    <w:rsid w:val="77C65AF1"/>
    <w:rsid w:val="77C912A7"/>
    <w:rsid w:val="784E227C"/>
    <w:rsid w:val="786245EB"/>
    <w:rsid w:val="78E03CFD"/>
    <w:rsid w:val="79026327"/>
    <w:rsid w:val="7A10685B"/>
    <w:rsid w:val="7A841B4C"/>
    <w:rsid w:val="7B022053"/>
    <w:rsid w:val="7BC53E57"/>
    <w:rsid w:val="7BD37605"/>
    <w:rsid w:val="7C783BBB"/>
    <w:rsid w:val="7CC3369F"/>
    <w:rsid w:val="7D1A220A"/>
    <w:rsid w:val="7D331C50"/>
    <w:rsid w:val="7D5929AA"/>
    <w:rsid w:val="7D9F7C22"/>
    <w:rsid w:val="7E967532"/>
    <w:rsid w:val="7FD77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7"/>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4">
    <w:name w:val="heading 2"/>
    <w:basedOn w:val="1"/>
    <w:next w:val="1"/>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paragraph" w:styleId="5">
    <w:name w:val="heading 3"/>
    <w:basedOn w:val="1"/>
    <w:next w:val="1"/>
    <w:unhideWhenUsed/>
    <w:qFormat/>
    <w:uiPriority w:val="0"/>
    <w:pPr>
      <w:keepNext/>
      <w:keepLines/>
      <w:spacing w:line="413" w:lineRule="auto"/>
      <w:outlineLvl w:val="2"/>
    </w:pPr>
    <w:rPr>
      <w:b/>
      <w:sz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6">
    <w:name w:val="Body Text"/>
    <w:basedOn w:val="1"/>
    <w:unhideWhenUsed/>
    <w:qFormat/>
    <w:uiPriority w:val="0"/>
    <w:pPr>
      <w:spacing w:after="120"/>
    </w:pPr>
  </w:style>
  <w:style w:type="paragraph" w:styleId="7">
    <w:name w:val="Plain Text"/>
    <w:basedOn w:val="1"/>
    <w:qFormat/>
    <w:uiPriority w:val="0"/>
    <w:rPr>
      <w:rFonts w:ascii="宋体" w:hAnsi="Courier New" w:cs="Courier New"/>
      <w:szCs w:val="21"/>
    </w:rPr>
  </w:style>
  <w:style w:type="paragraph" w:styleId="8">
    <w:name w:val="footer"/>
    <w:basedOn w:val="1"/>
    <w:qFormat/>
    <w:uiPriority w:val="0"/>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9">
    <w:name w:val="header"/>
    <w:basedOn w:val="1"/>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10">
    <w:name w:val="table of figures"/>
    <w:basedOn w:val="1"/>
    <w:next w:val="1"/>
    <w:unhideWhenUsed/>
    <w:qFormat/>
    <w:uiPriority w:val="99"/>
    <w:pPr>
      <w:ind w:left="200" w:leftChars="200" w:hanging="200" w:hangingChars="200"/>
    </w:p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4">
    <w:name w:val="Strong"/>
    <w:basedOn w:val="13"/>
    <w:qFormat/>
    <w:uiPriority w:val="0"/>
    <w:rPr>
      <w:b/>
    </w:rPr>
  </w:style>
  <w:style w:type="character" w:styleId="15">
    <w:name w:val="page number"/>
    <w:qFormat/>
    <w:uiPriority w:val="0"/>
  </w:style>
  <w:style w:type="character" w:styleId="16">
    <w:name w:val="Emphasis"/>
    <w:basedOn w:val="13"/>
    <w:qFormat/>
    <w:uiPriority w:val="0"/>
    <w:rPr>
      <w:i/>
    </w:rPr>
  </w:style>
  <w:style w:type="character" w:customStyle="1" w:styleId="17">
    <w:name w:val="NormalCharacter"/>
    <w:link w:val="1"/>
    <w:semiHidden/>
    <w:qFormat/>
    <w:uiPriority w:val="0"/>
    <w:rPr>
      <w:rFonts w:ascii="Calibri" w:hAnsi="Calibri" w:eastAsia="宋体" w:cs="Times New Roman"/>
      <w:kern w:val="2"/>
      <w:sz w:val="21"/>
      <w:szCs w:val="22"/>
      <w:lang w:val="en-US" w:eastAsia="zh-CN" w:bidi="ar-SA"/>
    </w:rPr>
  </w:style>
  <w:style w:type="paragraph" w:styleId="18">
    <w:name w:val="List Paragraph"/>
    <w:basedOn w:val="1"/>
    <w:qFormat/>
    <w:uiPriority w:val="34"/>
    <w:pPr>
      <w:ind w:firstLine="420" w:firstLineChars="200"/>
    </w:pPr>
  </w:style>
  <w:style w:type="paragraph" w:customStyle="1" w:styleId="19">
    <w:name w:val="样式1"/>
    <w:qFormat/>
    <w:uiPriority w:val="0"/>
    <w:pPr>
      <w:widowControl w:val="0"/>
      <w:jc w:val="both"/>
    </w:pPr>
    <w:rPr>
      <w:rFonts w:ascii="仿宋_GB2312" w:hAnsi="Times New Roman" w:eastAsia="仿宋_GB2312" w:cs="Times New Roman"/>
      <w:kern w:val="2"/>
      <w:sz w:val="28"/>
      <w:szCs w:val="24"/>
      <w:lang w:val="en-US" w:eastAsia="zh-CN" w:bidi="ar-SA"/>
    </w:rPr>
  </w:style>
  <w:style w:type="paragraph" w:customStyle="1" w:styleId="20">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21">
    <w:name w:val="PlainText"/>
    <w:basedOn w:val="1"/>
    <w:qFormat/>
    <w:uiPriority w:val="0"/>
    <w:rPr>
      <w:rFonts w:ascii="宋体" w:hAnsi="Courier New"/>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2020-10-29T05:49:00Z</dcterms:created>
  <dc:creator>Administrator</dc:creator>
  <cp:lastModifiedBy>mirror</cp:lastModifiedBy>
  <dcterms:modified xsi:type="dcterms:W3CDTF">2021-03-09T08:10:16Z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