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Times New Roman" w:eastAsia="方正小标宋简体" w:cs="Times New Roman"/>
          <w:sz w:val="52"/>
          <w:szCs w:val="44"/>
        </w:rPr>
      </w:pPr>
    </w:p>
    <w:p>
      <w:pPr>
        <w:spacing w:line="360" w:lineRule="auto"/>
        <w:jc w:val="center"/>
        <w:rPr>
          <w:rFonts w:hint="eastAsia" w:ascii="方正小标宋简体" w:hAnsi="Times New Roman" w:eastAsia="方正小标宋简体" w:cs="Times New Roman"/>
          <w:sz w:val="52"/>
          <w:szCs w:val="44"/>
        </w:rPr>
      </w:pPr>
    </w:p>
    <w:p>
      <w:pPr>
        <w:spacing w:line="360" w:lineRule="auto"/>
        <w:jc w:val="center"/>
        <w:rPr>
          <w:rFonts w:hint="eastAsia" w:ascii="方正小标宋简体" w:hAnsi="Times New Roman" w:eastAsia="方正小标宋简体" w:cs="Times New Roman"/>
          <w:sz w:val="52"/>
          <w:szCs w:val="44"/>
        </w:rPr>
      </w:pPr>
    </w:p>
    <w:p>
      <w:pPr>
        <w:spacing w:line="360" w:lineRule="auto"/>
        <w:jc w:val="center"/>
        <w:rPr>
          <w:rFonts w:hint="eastAsia" w:ascii="方正小标宋简体" w:hAnsi="Times New Roman" w:eastAsia="方正小标宋简体" w:cs="Times New Roman"/>
          <w:sz w:val="52"/>
          <w:szCs w:val="44"/>
        </w:rPr>
      </w:pPr>
    </w:p>
    <w:p>
      <w:pPr>
        <w:spacing w:line="360" w:lineRule="auto"/>
        <w:jc w:val="center"/>
        <w:rPr>
          <w:rFonts w:hint="eastAsia" w:ascii="方正小标宋简体" w:hAnsi="Times New Roman" w:eastAsia="方正小标宋简体" w:cs="Times New Roman"/>
          <w:sz w:val="52"/>
          <w:szCs w:val="44"/>
        </w:rPr>
      </w:pPr>
      <w:r>
        <w:rPr>
          <w:rFonts w:ascii="方正小标宋简体" w:hAnsi="Times New Roman" w:eastAsia="方正小标宋简体" w:cs="Times New Roman"/>
          <w:sz w:val="52"/>
          <w:szCs w:val="44"/>
        </w:rPr>
        <w:t>2018年部门预算信息公开说明</w:t>
      </w:r>
    </w:p>
    <w:p>
      <w:pPr>
        <w:spacing w:line="360" w:lineRule="auto"/>
        <w:jc w:val="center"/>
        <w:rPr>
          <w:rFonts w:hint="eastAsia" w:ascii="方正小标宋简体" w:hAnsi="Times New Roman" w:eastAsia="方正小标宋简体"/>
          <w:szCs w:val="32"/>
        </w:rPr>
      </w:pPr>
    </w:p>
    <w:p>
      <w:pPr>
        <w:spacing w:line="360" w:lineRule="auto"/>
        <w:jc w:val="center"/>
        <w:rPr>
          <w:rFonts w:hint="eastAsia" w:ascii="方正小标宋简体" w:hAnsi="Times New Roman" w:eastAsia="方正小标宋简体"/>
          <w:szCs w:val="32"/>
        </w:rPr>
      </w:pPr>
    </w:p>
    <w:p>
      <w:pPr>
        <w:spacing w:line="360" w:lineRule="auto"/>
        <w:jc w:val="center"/>
        <w:rPr>
          <w:rFonts w:hint="eastAsia" w:ascii="方正小标宋简体" w:hAnsi="Times New Roman" w:eastAsia="方正小标宋简体"/>
          <w:szCs w:val="32"/>
        </w:rPr>
      </w:pPr>
    </w:p>
    <w:p>
      <w:pPr>
        <w:spacing w:line="360" w:lineRule="auto"/>
        <w:jc w:val="center"/>
        <w:rPr>
          <w:rFonts w:hint="eastAsia" w:ascii="方正小标宋简体" w:hAnsi="Times New Roman" w:eastAsia="方正小标宋简体"/>
          <w:szCs w:val="32"/>
        </w:rPr>
      </w:pPr>
    </w:p>
    <w:p>
      <w:pPr>
        <w:spacing w:line="360" w:lineRule="auto"/>
        <w:jc w:val="center"/>
        <w:rPr>
          <w:rFonts w:hint="eastAsia" w:ascii="方正小标宋简体" w:hAnsi="Times New Roman" w:eastAsia="方正小标宋简体"/>
          <w:szCs w:val="32"/>
        </w:rPr>
      </w:pPr>
    </w:p>
    <w:p>
      <w:pPr>
        <w:spacing w:line="360" w:lineRule="auto"/>
        <w:jc w:val="center"/>
        <w:rPr>
          <w:rFonts w:hint="eastAsia" w:ascii="方正小标宋简体" w:hAnsi="Times New Roman" w:eastAsia="方正小标宋简体"/>
          <w:szCs w:val="32"/>
        </w:rPr>
      </w:pPr>
    </w:p>
    <w:p>
      <w:pPr>
        <w:spacing w:line="360" w:lineRule="auto"/>
        <w:jc w:val="center"/>
        <w:rPr>
          <w:rFonts w:hint="eastAsia" w:ascii="方正小标宋简体" w:hAnsi="Times New Roman" w:eastAsia="方正小标宋简体"/>
          <w:szCs w:val="32"/>
        </w:rPr>
      </w:pPr>
    </w:p>
    <w:p>
      <w:pPr>
        <w:spacing w:line="360" w:lineRule="auto"/>
        <w:jc w:val="center"/>
        <w:rPr>
          <w:rFonts w:hint="eastAsia" w:ascii="方正小标宋简体" w:hAnsi="Times New Roman" w:eastAsia="方正小标宋简体"/>
          <w:szCs w:val="32"/>
        </w:rPr>
      </w:pPr>
    </w:p>
    <w:p>
      <w:pPr>
        <w:spacing w:line="360" w:lineRule="auto"/>
        <w:jc w:val="center"/>
        <w:rPr>
          <w:rFonts w:hint="eastAsia" w:ascii="方正小标宋简体" w:hAnsi="Times New Roman" w:eastAsia="方正小标宋简体"/>
          <w:szCs w:val="32"/>
        </w:rPr>
      </w:pPr>
    </w:p>
    <w:p>
      <w:pPr>
        <w:spacing w:line="360" w:lineRule="auto"/>
        <w:jc w:val="center"/>
        <w:rPr>
          <w:rFonts w:hint="eastAsia" w:ascii="方正小标宋简体" w:hAnsi="Times New Roman" w:eastAsia="方正小标宋简体"/>
          <w:szCs w:val="32"/>
        </w:rPr>
      </w:pPr>
    </w:p>
    <w:p>
      <w:pPr>
        <w:spacing w:line="360" w:lineRule="auto"/>
        <w:jc w:val="center"/>
        <w:rPr>
          <w:rFonts w:hint="eastAsia" w:ascii="方正小标宋简体" w:hAnsi="Times New Roman" w:eastAsia="方正小标宋简体"/>
          <w:szCs w:val="32"/>
        </w:rPr>
      </w:pPr>
    </w:p>
    <w:p>
      <w:pPr>
        <w:spacing w:line="360" w:lineRule="auto"/>
        <w:jc w:val="center"/>
        <w:rPr>
          <w:rFonts w:hint="eastAsia" w:ascii="方正小标宋简体" w:hAnsi="Times New Roman" w:eastAsia="方正小标宋简体"/>
          <w:szCs w:val="32"/>
        </w:rPr>
      </w:pPr>
      <w:r>
        <w:rPr>
          <w:rFonts w:hint="eastAsia" w:ascii="方正小标宋简体" w:hAnsi="Times New Roman" w:eastAsia="方正小标宋简体"/>
          <w:szCs w:val="32"/>
        </w:rPr>
        <w:t>北京市西城区人民政府国有资产监督管理委员会</w:t>
      </w:r>
    </w:p>
    <w:p>
      <w:pPr>
        <w:spacing w:line="360" w:lineRule="auto"/>
        <w:jc w:val="center"/>
        <w:rPr>
          <w:rFonts w:hint="eastAsia" w:ascii="方正小标宋简体" w:hAnsi="Times New Roman" w:eastAsia="方正小标宋简体"/>
          <w:szCs w:val="32"/>
        </w:rPr>
      </w:pPr>
      <w:r>
        <w:rPr>
          <w:rFonts w:hint="eastAsia" w:ascii="方正小标宋简体" w:hAnsi="Times New Roman" w:eastAsia="方正小标宋简体"/>
          <w:szCs w:val="32"/>
        </w:rPr>
        <w:t>2018年2月</w:t>
      </w:r>
      <w:r>
        <w:rPr>
          <w:rFonts w:ascii="方正小标宋简体" w:hAnsi="Times New Roman" w:eastAsia="方正小标宋简体"/>
          <w:szCs w:val="32"/>
        </w:rPr>
        <w:br w:type="page"/>
      </w:r>
    </w:p>
    <w:p>
      <w:pPr>
        <w:spacing w:line="360" w:lineRule="auto"/>
        <w:jc w:val="center"/>
        <w:rPr>
          <w:rFonts w:hint="eastAsia" w:ascii="方正小标宋简体" w:hAnsi="Times New Roman" w:eastAsia="方正小标宋简体"/>
          <w:szCs w:val="32"/>
        </w:rPr>
      </w:pPr>
    </w:p>
    <w:p>
      <w:pPr>
        <w:spacing w:line="360" w:lineRule="auto"/>
        <w:jc w:val="center"/>
        <w:rPr>
          <w:rFonts w:hint="eastAsia" w:ascii="方正小标宋简体" w:hAnsi="Times New Roman" w:eastAsia="方正小标宋简体"/>
          <w:szCs w:val="32"/>
        </w:rPr>
      </w:pPr>
    </w:p>
    <w:sdt>
      <w:sdtPr>
        <w:rPr>
          <w:rFonts w:hint="eastAsia" w:ascii="仿宋_GB2312" w:eastAsia="仿宋_GB2312"/>
          <w:color w:val="auto"/>
          <w:sz w:val="32"/>
          <w:szCs w:val="32"/>
          <w:lang w:val="zh-CN"/>
        </w:rPr>
        <w:id w:val="-1436131105"/>
        <w:docPartObj>
          <w:docPartGallery w:val="Table of Contents"/>
          <w:docPartUnique/>
        </w:docPartObj>
      </w:sdtPr>
      <w:sdtEndPr>
        <w:rPr>
          <w:rFonts w:hint="default" w:eastAsia="仿宋_GB2312" w:asciiTheme="minorHAnsi" w:hAnsiTheme="minorHAnsi" w:cstheme="minorBidi"/>
          <w:color w:val="auto"/>
          <w:kern w:val="2"/>
          <w:sz w:val="32"/>
          <w:szCs w:val="24"/>
          <w:lang w:val="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40"/>
              <w:szCs w:val="40"/>
            </w:rPr>
          </w:pPr>
          <w:r>
            <w:rPr>
              <w:rFonts w:hint="eastAsia" w:ascii="仿宋" w:hAnsi="仿宋" w:eastAsia="仿宋" w:cs="仿宋"/>
              <w:sz w:val="40"/>
              <w:szCs w:val="40"/>
            </w:rPr>
            <w:t>目</w:t>
          </w:r>
          <w:r>
            <w:rPr>
              <w:rFonts w:hint="eastAsia" w:ascii="仿宋" w:hAnsi="仿宋" w:eastAsia="仿宋" w:cs="仿宋"/>
              <w:sz w:val="40"/>
              <w:szCs w:val="40"/>
              <w:lang w:val="en-US" w:eastAsia="zh-CN"/>
            </w:rPr>
            <w:t xml:space="preserve">  </w:t>
          </w:r>
          <w:r>
            <w:rPr>
              <w:rFonts w:hint="eastAsia" w:ascii="仿宋" w:hAnsi="仿宋" w:eastAsia="仿宋" w:cs="仿宋"/>
              <w:sz w:val="40"/>
              <w:szCs w:val="40"/>
            </w:rPr>
            <w:t>录</w:t>
          </w:r>
        </w:p>
        <w:p>
          <w:pPr>
            <w:spacing w:before="0" w:beforeLines="0" w:after="0" w:afterLines="0" w:line="240" w:lineRule="auto"/>
            <w:ind w:left="0" w:leftChars="0" w:right="0" w:rightChars="0" w:firstLine="0" w:firstLineChars="0"/>
            <w:jc w:val="center"/>
            <w:rPr>
              <w:rFonts w:hint="eastAsia" w:ascii="仿宋" w:hAnsi="仿宋" w:eastAsia="仿宋" w:cs="仿宋"/>
              <w:sz w:val="40"/>
              <w:szCs w:val="40"/>
            </w:rPr>
          </w:pPr>
          <w:bookmarkStart w:id="6" w:name="_GoBack"/>
          <w:bookmarkEnd w:id="6"/>
        </w:p>
        <w:p>
          <w:pPr>
            <w:pStyle w:val="7"/>
            <w:tabs>
              <w:tab w:val="right" w:leader="dot" w:pos="8306"/>
            </w:tabs>
            <w:rPr>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rPr>
              <w:rFonts w:hint="eastAsia" w:ascii="仿宋_GB2312" w:eastAsia="仿宋_GB2312"/>
              <w:sz w:val="32"/>
              <w:szCs w:val="32"/>
            </w:rPr>
            <w:fldChar w:fldCharType="begin"/>
          </w:r>
          <w:r>
            <w:rPr>
              <w:rFonts w:hint="eastAsia" w:ascii="仿宋_GB2312" w:eastAsia="仿宋_GB2312"/>
              <w:sz w:val="32"/>
              <w:szCs w:val="32"/>
            </w:rPr>
            <w:instrText xml:space="preserve"> HYPERLINK \l _Toc11590 </w:instrText>
          </w:r>
          <w:r>
            <w:rPr>
              <w:rFonts w:hint="eastAsia" w:ascii="仿宋_GB2312" w:eastAsia="仿宋_GB2312"/>
              <w:sz w:val="32"/>
              <w:szCs w:val="32"/>
            </w:rPr>
            <w:fldChar w:fldCharType="separate"/>
          </w:r>
          <w:r>
            <w:rPr>
              <w:rFonts w:ascii="仿宋_GB2312" w:eastAsia="仿宋_GB2312"/>
              <w:sz w:val="32"/>
              <w:szCs w:val="32"/>
            </w:rPr>
            <w:t>一、部门情况 </w:t>
          </w:r>
          <w:r>
            <w:rPr>
              <w:sz w:val="32"/>
              <w:szCs w:val="32"/>
            </w:rPr>
            <w:tab/>
          </w:r>
          <w:r>
            <w:rPr>
              <w:sz w:val="32"/>
              <w:szCs w:val="32"/>
            </w:rPr>
            <w:fldChar w:fldCharType="begin"/>
          </w:r>
          <w:r>
            <w:rPr>
              <w:sz w:val="32"/>
              <w:szCs w:val="32"/>
            </w:rPr>
            <w:instrText xml:space="preserve"> PAGEREF _Toc11590 </w:instrText>
          </w:r>
          <w:r>
            <w:rPr>
              <w:sz w:val="32"/>
              <w:szCs w:val="32"/>
            </w:rPr>
            <w:fldChar w:fldCharType="separate"/>
          </w:r>
          <w:r>
            <w:rPr>
              <w:sz w:val="32"/>
              <w:szCs w:val="32"/>
            </w:rPr>
            <w:t>3</w:t>
          </w:r>
          <w:r>
            <w:rPr>
              <w:sz w:val="32"/>
              <w:szCs w:val="32"/>
            </w:rPr>
            <w:fldChar w:fldCharType="end"/>
          </w:r>
          <w:r>
            <w:rPr>
              <w:rFonts w:hint="eastAsia" w:ascii="仿宋_GB2312" w:eastAsia="仿宋_GB2312"/>
              <w:sz w:val="32"/>
              <w:szCs w:val="32"/>
            </w:rPr>
            <w:fldChar w:fldCharType="end"/>
          </w:r>
        </w:p>
        <w:p>
          <w:pPr>
            <w:pStyle w:val="7"/>
            <w:tabs>
              <w:tab w:val="right" w:leader="dot" w:pos="8306"/>
            </w:tabs>
            <w:rPr>
              <w:sz w:val="32"/>
              <w:szCs w:val="32"/>
            </w:rPr>
          </w:pPr>
          <w:r>
            <w:rPr>
              <w:rFonts w:hint="eastAsia" w:ascii="仿宋_GB2312"/>
              <w:bCs/>
              <w:sz w:val="32"/>
              <w:szCs w:val="32"/>
              <w:lang w:val="zh-CN"/>
            </w:rPr>
            <w:fldChar w:fldCharType="begin"/>
          </w:r>
          <w:r>
            <w:rPr>
              <w:rFonts w:hint="eastAsia" w:ascii="仿宋_GB2312"/>
              <w:bCs/>
              <w:sz w:val="32"/>
              <w:szCs w:val="32"/>
              <w:lang w:val="zh-CN"/>
            </w:rPr>
            <w:instrText xml:space="preserve"> HYPERLINK \l _Toc4218 </w:instrText>
          </w:r>
          <w:r>
            <w:rPr>
              <w:rFonts w:hint="eastAsia" w:ascii="仿宋_GB2312"/>
              <w:bCs/>
              <w:sz w:val="32"/>
              <w:szCs w:val="32"/>
              <w:lang w:val="zh-CN"/>
            </w:rPr>
            <w:fldChar w:fldCharType="separate"/>
          </w:r>
          <w:r>
            <w:rPr>
              <w:rFonts w:ascii="仿宋_GB2312" w:eastAsia="仿宋_GB2312"/>
              <w:sz w:val="32"/>
              <w:szCs w:val="32"/>
            </w:rPr>
            <w:t>二、预算</w:t>
          </w:r>
          <w:r>
            <w:rPr>
              <w:rFonts w:hint="eastAsia" w:ascii="仿宋_GB2312" w:eastAsia="仿宋_GB2312"/>
              <w:sz w:val="32"/>
              <w:szCs w:val="32"/>
            </w:rPr>
            <w:t>收支总体情况</w:t>
          </w:r>
          <w:r>
            <w:rPr>
              <w:sz w:val="32"/>
              <w:szCs w:val="32"/>
            </w:rPr>
            <w:tab/>
          </w:r>
          <w:r>
            <w:rPr>
              <w:sz w:val="32"/>
              <w:szCs w:val="32"/>
            </w:rPr>
            <w:fldChar w:fldCharType="begin"/>
          </w:r>
          <w:r>
            <w:rPr>
              <w:sz w:val="32"/>
              <w:szCs w:val="32"/>
            </w:rPr>
            <w:instrText xml:space="preserve"> PAGEREF _Toc4218 </w:instrText>
          </w:r>
          <w:r>
            <w:rPr>
              <w:sz w:val="32"/>
              <w:szCs w:val="32"/>
            </w:rPr>
            <w:fldChar w:fldCharType="separate"/>
          </w:r>
          <w:r>
            <w:rPr>
              <w:sz w:val="32"/>
              <w:szCs w:val="32"/>
            </w:rPr>
            <w:t>4</w:t>
          </w:r>
          <w:r>
            <w:rPr>
              <w:sz w:val="32"/>
              <w:szCs w:val="32"/>
            </w:rPr>
            <w:fldChar w:fldCharType="end"/>
          </w:r>
          <w:r>
            <w:rPr>
              <w:rFonts w:hint="eastAsia" w:ascii="仿宋_GB2312"/>
              <w:bCs/>
              <w:sz w:val="32"/>
              <w:szCs w:val="32"/>
              <w:lang w:val="zh-CN"/>
            </w:rPr>
            <w:fldChar w:fldCharType="end"/>
          </w:r>
        </w:p>
        <w:p>
          <w:pPr>
            <w:pStyle w:val="7"/>
            <w:tabs>
              <w:tab w:val="right" w:leader="dot" w:pos="8306"/>
            </w:tabs>
            <w:rPr>
              <w:sz w:val="32"/>
              <w:szCs w:val="32"/>
            </w:rPr>
          </w:pPr>
          <w:r>
            <w:rPr>
              <w:rFonts w:hint="eastAsia" w:ascii="仿宋_GB2312"/>
              <w:bCs/>
              <w:sz w:val="32"/>
              <w:szCs w:val="32"/>
              <w:lang w:val="zh-CN"/>
            </w:rPr>
            <w:fldChar w:fldCharType="begin"/>
          </w:r>
          <w:r>
            <w:rPr>
              <w:rFonts w:hint="eastAsia" w:ascii="仿宋_GB2312"/>
              <w:bCs/>
              <w:sz w:val="32"/>
              <w:szCs w:val="32"/>
              <w:lang w:val="zh-CN"/>
            </w:rPr>
            <w:instrText xml:space="preserve"> HYPERLINK \l _Toc17560 </w:instrText>
          </w:r>
          <w:r>
            <w:rPr>
              <w:rFonts w:hint="eastAsia" w:ascii="仿宋_GB2312"/>
              <w:bCs/>
              <w:sz w:val="32"/>
              <w:szCs w:val="32"/>
              <w:lang w:val="zh-CN"/>
            </w:rPr>
            <w:fldChar w:fldCharType="separate"/>
          </w:r>
          <w:r>
            <w:rPr>
              <w:rFonts w:ascii="仿宋_GB2312" w:eastAsia="仿宋_GB2312"/>
              <w:sz w:val="32"/>
              <w:szCs w:val="32"/>
            </w:rPr>
            <w:t>三、 “三公”经费安排情况</w:t>
          </w:r>
          <w:r>
            <w:rPr>
              <w:sz w:val="32"/>
              <w:szCs w:val="32"/>
            </w:rPr>
            <w:tab/>
          </w:r>
          <w:r>
            <w:rPr>
              <w:sz w:val="32"/>
              <w:szCs w:val="32"/>
            </w:rPr>
            <w:fldChar w:fldCharType="begin"/>
          </w:r>
          <w:r>
            <w:rPr>
              <w:sz w:val="32"/>
              <w:szCs w:val="32"/>
            </w:rPr>
            <w:instrText xml:space="preserve"> PAGEREF _Toc17560 </w:instrText>
          </w:r>
          <w:r>
            <w:rPr>
              <w:sz w:val="32"/>
              <w:szCs w:val="32"/>
            </w:rPr>
            <w:fldChar w:fldCharType="separate"/>
          </w:r>
          <w:r>
            <w:rPr>
              <w:sz w:val="32"/>
              <w:szCs w:val="32"/>
            </w:rPr>
            <w:t>5</w:t>
          </w:r>
          <w:r>
            <w:rPr>
              <w:sz w:val="32"/>
              <w:szCs w:val="32"/>
            </w:rPr>
            <w:fldChar w:fldCharType="end"/>
          </w:r>
          <w:r>
            <w:rPr>
              <w:rFonts w:hint="eastAsia" w:ascii="仿宋_GB2312"/>
              <w:bCs/>
              <w:sz w:val="32"/>
              <w:szCs w:val="32"/>
              <w:lang w:val="zh-CN"/>
            </w:rPr>
            <w:fldChar w:fldCharType="end"/>
          </w:r>
        </w:p>
        <w:p>
          <w:pPr>
            <w:pStyle w:val="7"/>
            <w:tabs>
              <w:tab w:val="right" w:leader="dot" w:pos="8306"/>
            </w:tabs>
            <w:rPr>
              <w:sz w:val="32"/>
              <w:szCs w:val="32"/>
            </w:rPr>
          </w:pPr>
          <w:r>
            <w:rPr>
              <w:rFonts w:hint="eastAsia" w:ascii="仿宋_GB2312"/>
              <w:bCs/>
              <w:sz w:val="32"/>
              <w:szCs w:val="32"/>
              <w:lang w:val="zh-CN"/>
            </w:rPr>
            <w:fldChar w:fldCharType="begin"/>
          </w:r>
          <w:r>
            <w:rPr>
              <w:rFonts w:hint="eastAsia" w:ascii="仿宋_GB2312"/>
              <w:bCs/>
              <w:sz w:val="32"/>
              <w:szCs w:val="32"/>
              <w:lang w:val="zh-CN"/>
            </w:rPr>
            <w:instrText xml:space="preserve"> HYPERLINK \l _Toc31166 </w:instrText>
          </w:r>
          <w:r>
            <w:rPr>
              <w:rFonts w:hint="eastAsia" w:ascii="仿宋_GB2312"/>
              <w:bCs/>
              <w:sz w:val="32"/>
              <w:szCs w:val="32"/>
              <w:lang w:val="zh-CN"/>
            </w:rPr>
            <w:fldChar w:fldCharType="separate"/>
          </w:r>
          <w:r>
            <w:rPr>
              <w:rFonts w:hint="eastAsia" w:ascii="仿宋_GB2312" w:eastAsia="仿宋_GB2312"/>
              <w:sz w:val="32"/>
              <w:szCs w:val="32"/>
            </w:rPr>
            <w:t>四、</w:t>
          </w:r>
          <w:r>
            <w:rPr>
              <w:rFonts w:ascii="仿宋_GB2312" w:eastAsia="仿宋_GB2312"/>
              <w:sz w:val="32"/>
              <w:szCs w:val="32"/>
            </w:rPr>
            <w:t>政府采购</w:t>
          </w:r>
          <w:r>
            <w:rPr>
              <w:rFonts w:hint="eastAsia" w:ascii="仿宋_GB2312" w:eastAsia="仿宋_GB2312"/>
              <w:sz w:val="32"/>
              <w:szCs w:val="32"/>
            </w:rPr>
            <w:t>及</w:t>
          </w:r>
          <w:r>
            <w:rPr>
              <w:rFonts w:ascii="仿宋_GB2312" w:eastAsia="仿宋_GB2312"/>
              <w:sz w:val="32"/>
              <w:szCs w:val="32"/>
            </w:rPr>
            <w:t>政府购买服务</w:t>
          </w:r>
          <w:r>
            <w:rPr>
              <w:rFonts w:hint="eastAsia" w:ascii="仿宋_GB2312" w:eastAsia="仿宋_GB2312"/>
              <w:sz w:val="32"/>
              <w:szCs w:val="32"/>
            </w:rPr>
            <w:t>安排情况</w:t>
          </w:r>
          <w:r>
            <w:rPr>
              <w:sz w:val="32"/>
              <w:szCs w:val="32"/>
            </w:rPr>
            <w:tab/>
          </w:r>
          <w:r>
            <w:rPr>
              <w:sz w:val="32"/>
              <w:szCs w:val="32"/>
            </w:rPr>
            <w:fldChar w:fldCharType="begin"/>
          </w:r>
          <w:r>
            <w:rPr>
              <w:sz w:val="32"/>
              <w:szCs w:val="32"/>
            </w:rPr>
            <w:instrText xml:space="preserve"> PAGEREF _Toc31166 </w:instrText>
          </w:r>
          <w:r>
            <w:rPr>
              <w:sz w:val="32"/>
              <w:szCs w:val="32"/>
            </w:rPr>
            <w:fldChar w:fldCharType="separate"/>
          </w:r>
          <w:r>
            <w:rPr>
              <w:sz w:val="32"/>
              <w:szCs w:val="32"/>
            </w:rPr>
            <w:t>5</w:t>
          </w:r>
          <w:r>
            <w:rPr>
              <w:sz w:val="32"/>
              <w:szCs w:val="32"/>
            </w:rPr>
            <w:fldChar w:fldCharType="end"/>
          </w:r>
          <w:r>
            <w:rPr>
              <w:rFonts w:hint="eastAsia" w:ascii="仿宋_GB2312"/>
              <w:bCs/>
              <w:sz w:val="32"/>
              <w:szCs w:val="32"/>
              <w:lang w:val="zh-CN"/>
            </w:rPr>
            <w:fldChar w:fldCharType="end"/>
          </w:r>
        </w:p>
        <w:p>
          <w:pPr>
            <w:pStyle w:val="7"/>
            <w:tabs>
              <w:tab w:val="right" w:leader="dot" w:pos="8306"/>
            </w:tabs>
            <w:rPr>
              <w:sz w:val="32"/>
              <w:szCs w:val="32"/>
            </w:rPr>
          </w:pPr>
          <w:r>
            <w:rPr>
              <w:rFonts w:hint="eastAsia" w:ascii="仿宋_GB2312"/>
              <w:bCs/>
              <w:sz w:val="32"/>
              <w:szCs w:val="32"/>
              <w:lang w:val="zh-CN"/>
            </w:rPr>
            <w:fldChar w:fldCharType="begin"/>
          </w:r>
          <w:r>
            <w:rPr>
              <w:rFonts w:hint="eastAsia" w:ascii="仿宋_GB2312"/>
              <w:bCs/>
              <w:sz w:val="32"/>
              <w:szCs w:val="32"/>
              <w:lang w:val="zh-CN"/>
            </w:rPr>
            <w:instrText xml:space="preserve"> HYPERLINK \l _Toc26044 </w:instrText>
          </w:r>
          <w:r>
            <w:rPr>
              <w:rFonts w:hint="eastAsia" w:ascii="仿宋_GB2312"/>
              <w:bCs/>
              <w:sz w:val="32"/>
              <w:szCs w:val="32"/>
              <w:lang w:val="zh-CN"/>
            </w:rPr>
            <w:fldChar w:fldCharType="separate"/>
          </w:r>
          <w:r>
            <w:rPr>
              <w:rFonts w:hint="eastAsia" w:ascii="仿宋_GB2312" w:eastAsia="仿宋_GB2312"/>
              <w:sz w:val="32"/>
              <w:szCs w:val="32"/>
            </w:rPr>
            <w:t>五、</w:t>
          </w:r>
          <w:r>
            <w:rPr>
              <w:rFonts w:hint="eastAsia" w:ascii="仿宋_GB2312" w:eastAsia="仿宋_GB2312"/>
              <w:sz w:val="32"/>
              <w:szCs w:val="32"/>
              <w:lang w:val="en-US" w:eastAsia="zh-CN"/>
            </w:rPr>
            <w:t>重点项目支出绩效目标情况说明</w:t>
          </w:r>
          <w:r>
            <w:rPr>
              <w:sz w:val="32"/>
              <w:szCs w:val="32"/>
            </w:rPr>
            <w:tab/>
          </w:r>
          <w:r>
            <w:rPr>
              <w:sz w:val="32"/>
              <w:szCs w:val="32"/>
            </w:rPr>
            <w:fldChar w:fldCharType="begin"/>
          </w:r>
          <w:r>
            <w:rPr>
              <w:sz w:val="32"/>
              <w:szCs w:val="32"/>
            </w:rPr>
            <w:instrText xml:space="preserve"> PAGEREF _Toc26044 </w:instrText>
          </w:r>
          <w:r>
            <w:rPr>
              <w:sz w:val="32"/>
              <w:szCs w:val="32"/>
            </w:rPr>
            <w:fldChar w:fldCharType="separate"/>
          </w:r>
          <w:r>
            <w:rPr>
              <w:sz w:val="32"/>
              <w:szCs w:val="32"/>
            </w:rPr>
            <w:t>6</w:t>
          </w:r>
          <w:r>
            <w:rPr>
              <w:sz w:val="32"/>
              <w:szCs w:val="32"/>
            </w:rPr>
            <w:fldChar w:fldCharType="end"/>
          </w:r>
          <w:r>
            <w:rPr>
              <w:rFonts w:hint="eastAsia" w:ascii="仿宋_GB2312"/>
              <w:bCs/>
              <w:sz w:val="32"/>
              <w:szCs w:val="32"/>
              <w:lang w:val="zh-CN"/>
            </w:rPr>
            <w:fldChar w:fldCharType="end"/>
          </w:r>
        </w:p>
        <w:p>
          <w:pPr>
            <w:pStyle w:val="7"/>
            <w:tabs>
              <w:tab w:val="right" w:leader="dot" w:pos="8306"/>
            </w:tabs>
            <w:rPr>
              <w:sz w:val="32"/>
              <w:szCs w:val="32"/>
            </w:rPr>
          </w:pPr>
          <w:r>
            <w:rPr>
              <w:rFonts w:hint="eastAsia" w:ascii="仿宋_GB2312"/>
              <w:bCs/>
              <w:sz w:val="32"/>
              <w:szCs w:val="32"/>
              <w:lang w:val="zh-CN"/>
            </w:rPr>
            <w:fldChar w:fldCharType="begin"/>
          </w:r>
          <w:r>
            <w:rPr>
              <w:rFonts w:hint="eastAsia" w:ascii="仿宋_GB2312"/>
              <w:bCs/>
              <w:sz w:val="32"/>
              <w:szCs w:val="32"/>
              <w:lang w:val="zh-CN"/>
            </w:rPr>
            <w:instrText xml:space="preserve"> HYPERLINK \l _Toc16283 </w:instrText>
          </w:r>
          <w:r>
            <w:rPr>
              <w:rFonts w:hint="eastAsia" w:ascii="仿宋_GB2312"/>
              <w:bCs/>
              <w:sz w:val="32"/>
              <w:szCs w:val="32"/>
              <w:lang w:val="zh-CN"/>
            </w:rPr>
            <w:fldChar w:fldCharType="separate"/>
          </w:r>
          <w:r>
            <w:rPr>
              <w:rFonts w:hint="eastAsia" w:ascii="仿宋_GB2312" w:eastAsia="仿宋_GB2312"/>
              <w:sz w:val="32"/>
              <w:szCs w:val="32"/>
              <w:lang w:val="en-US" w:eastAsia="zh-CN"/>
            </w:rPr>
            <w:t>六、国有资产占用情况说明</w:t>
          </w:r>
          <w:r>
            <w:rPr>
              <w:sz w:val="32"/>
              <w:szCs w:val="32"/>
            </w:rPr>
            <w:tab/>
          </w:r>
          <w:r>
            <w:rPr>
              <w:sz w:val="32"/>
              <w:szCs w:val="32"/>
            </w:rPr>
            <w:fldChar w:fldCharType="begin"/>
          </w:r>
          <w:r>
            <w:rPr>
              <w:sz w:val="32"/>
              <w:szCs w:val="32"/>
            </w:rPr>
            <w:instrText xml:space="preserve"> PAGEREF _Toc16283 </w:instrText>
          </w:r>
          <w:r>
            <w:rPr>
              <w:sz w:val="32"/>
              <w:szCs w:val="32"/>
            </w:rPr>
            <w:fldChar w:fldCharType="separate"/>
          </w:r>
          <w:r>
            <w:rPr>
              <w:sz w:val="32"/>
              <w:szCs w:val="32"/>
            </w:rPr>
            <w:t>6</w:t>
          </w:r>
          <w:r>
            <w:rPr>
              <w:sz w:val="32"/>
              <w:szCs w:val="32"/>
            </w:rPr>
            <w:fldChar w:fldCharType="end"/>
          </w:r>
          <w:r>
            <w:rPr>
              <w:rFonts w:hint="eastAsia" w:ascii="仿宋_GB2312"/>
              <w:bCs/>
              <w:sz w:val="32"/>
              <w:szCs w:val="32"/>
              <w:lang w:val="zh-CN"/>
            </w:rPr>
            <w:fldChar w:fldCharType="end"/>
          </w:r>
        </w:p>
        <w:p>
          <w:r>
            <w:rPr>
              <w:rFonts w:hint="eastAsia" w:ascii="仿宋_GB2312"/>
              <w:bCs/>
              <w:sz w:val="32"/>
              <w:szCs w:val="32"/>
              <w:lang w:val="zh-CN"/>
            </w:rPr>
            <w:fldChar w:fldCharType="end"/>
          </w:r>
        </w:p>
      </w:sdtContent>
    </w:sdt>
    <w:p>
      <w:pPr>
        <w:pStyle w:val="2"/>
        <w:spacing w:before="120" w:after="120"/>
        <w:rPr>
          <w:rFonts w:ascii="仿宋_GB2312" w:eastAsia="仿宋_GB2312"/>
          <w:sz w:val="32"/>
          <w:szCs w:val="32"/>
        </w:rPr>
      </w:pPr>
      <w:r>
        <w:rPr>
          <w:rFonts w:ascii="仿宋_GB2312" w:eastAsia="仿宋_GB2312"/>
          <w:sz w:val="32"/>
          <w:szCs w:val="32"/>
        </w:rPr>
        <w:br w:type="page"/>
      </w:r>
    </w:p>
    <w:p>
      <w:pPr>
        <w:pStyle w:val="2"/>
        <w:spacing w:before="120" w:after="120"/>
        <w:rPr>
          <w:rFonts w:ascii="仿宋_GB2312" w:eastAsia="仿宋_GB2312"/>
          <w:sz w:val="32"/>
          <w:szCs w:val="32"/>
        </w:rPr>
      </w:pPr>
      <w:bookmarkStart w:id="0" w:name="_Toc11590"/>
      <w:r>
        <w:rPr>
          <w:rFonts w:ascii="仿宋_GB2312" w:eastAsia="仿宋_GB2312"/>
          <w:sz w:val="32"/>
          <w:szCs w:val="32"/>
        </w:rPr>
        <w:t>一、部门情况</w:t>
      </w:r>
      <w:bookmarkEnd w:id="0"/>
    </w:p>
    <w:p>
      <w:pPr>
        <w:snapToGrid w:val="0"/>
        <w:spacing w:line="560" w:lineRule="exact"/>
        <w:ind w:firstLine="640" w:firstLineChars="200"/>
        <w:rPr>
          <w:rFonts w:ascii="仿宋_GB2312" w:hAnsi="宋体" w:cs="仿宋_GB2312"/>
          <w:szCs w:val="32"/>
        </w:rPr>
      </w:pPr>
      <w:r>
        <w:rPr>
          <w:rFonts w:ascii="仿宋_GB2312" w:hAnsi="宋体" w:cs="仿宋_GB2312"/>
          <w:szCs w:val="32"/>
        </w:rPr>
        <w:t>（一）部门机构设置</w:t>
      </w:r>
    </w:p>
    <w:p>
      <w:pPr>
        <w:snapToGrid w:val="0"/>
        <w:spacing w:line="560" w:lineRule="exact"/>
        <w:ind w:firstLine="640" w:firstLineChars="200"/>
        <w:rPr>
          <w:rFonts w:ascii="仿宋_GB2312" w:hAnsi="宋体" w:cs="仿宋_GB2312"/>
          <w:szCs w:val="32"/>
        </w:rPr>
      </w:pPr>
      <w:r>
        <w:rPr>
          <w:rFonts w:ascii="仿宋_GB2312" w:hAnsi="宋体" w:cs="仿宋_GB2312"/>
          <w:szCs w:val="32"/>
        </w:rPr>
        <w:t>区国资委内设10个科室：办公室、改革协同发展办公室、综合科、产权管理科、统计评价科、预算考核科、董事会工作科、监事会工作科、企业领导人员管理科、党建工作科。</w:t>
      </w:r>
    </w:p>
    <w:p>
      <w:pPr>
        <w:snapToGrid w:val="0"/>
        <w:spacing w:line="560" w:lineRule="exact"/>
        <w:ind w:firstLine="640" w:firstLineChars="200"/>
        <w:rPr>
          <w:rFonts w:ascii="仿宋_GB2312" w:hAnsi="宋体" w:cs="仿宋_GB2312"/>
          <w:szCs w:val="32"/>
        </w:rPr>
      </w:pPr>
      <w:r>
        <w:rPr>
          <w:rFonts w:ascii="仿宋_GB2312" w:hAnsi="宋体" w:cs="仿宋_GB2312"/>
          <w:szCs w:val="32"/>
        </w:rPr>
        <w:t>（二）区国资委主要职责</w:t>
      </w:r>
    </w:p>
    <w:p>
      <w:pPr>
        <w:snapToGrid w:val="0"/>
        <w:spacing w:line="560" w:lineRule="exact"/>
        <w:ind w:firstLine="640" w:firstLineChars="200"/>
        <w:rPr>
          <w:rFonts w:ascii="仿宋_GB2312" w:hAnsi="宋体" w:cs="仿宋_GB2312"/>
          <w:szCs w:val="32"/>
        </w:rPr>
      </w:pPr>
      <w:r>
        <w:rPr>
          <w:rFonts w:ascii="仿宋_GB2312" w:hAnsi="宋体" w:cs="仿宋_GB2312"/>
          <w:szCs w:val="32"/>
        </w:rPr>
        <w:t>1.根据区政府授权，依照《中华人民共和国公司法》及《中华人民共和国企业国有资产法》等法律、法规履行国有资本出资人职责；监管区政府履行出资人职责的企业和区政府授权实行企业化管理事业单位的国有资产。</w:t>
      </w:r>
    </w:p>
    <w:p>
      <w:pPr>
        <w:snapToGrid w:val="0"/>
        <w:spacing w:line="560" w:lineRule="exact"/>
        <w:ind w:firstLine="640" w:firstLineChars="200"/>
        <w:rPr>
          <w:rFonts w:ascii="仿宋_GB2312" w:hAnsi="宋体" w:cs="仿宋_GB2312"/>
          <w:szCs w:val="32"/>
        </w:rPr>
      </w:pPr>
      <w:r>
        <w:rPr>
          <w:rFonts w:ascii="仿宋_GB2312" w:hAnsi="宋体" w:cs="仿宋_GB2312"/>
          <w:szCs w:val="32"/>
        </w:rPr>
        <w:t>2.依照法定程序及规定对区属国有独资企业和国有独资公司分立、合并、破产、解散、增减资本、发行公司债券等重大事项进行管理。</w:t>
      </w:r>
    </w:p>
    <w:p>
      <w:pPr>
        <w:snapToGrid w:val="0"/>
        <w:spacing w:line="560" w:lineRule="exact"/>
        <w:ind w:firstLine="640" w:firstLineChars="200"/>
        <w:rPr>
          <w:rFonts w:ascii="仿宋_GB2312" w:hAnsi="宋体" w:cs="仿宋_GB2312"/>
          <w:szCs w:val="32"/>
        </w:rPr>
      </w:pPr>
      <w:r>
        <w:rPr>
          <w:rFonts w:ascii="仿宋_GB2312" w:hAnsi="宋体" w:cs="仿宋_GB2312"/>
          <w:szCs w:val="32"/>
        </w:rPr>
        <w:t>3.推动国有经济布局和结构的战略性调整，加强协调解决区属企业改革、发展、稳定方面的重大问题，指导推进国有及国有控股企业的改革和重组，促进企业建立健全现代企业制度。</w:t>
      </w:r>
    </w:p>
    <w:p>
      <w:pPr>
        <w:snapToGrid w:val="0"/>
        <w:spacing w:line="560" w:lineRule="exact"/>
        <w:ind w:firstLine="640" w:firstLineChars="200"/>
        <w:rPr>
          <w:rFonts w:ascii="仿宋_GB2312" w:hAnsi="宋体" w:cs="仿宋_GB2312"/>
          <w:szCs w:val="32"/>
        </w:rPr>
      </w:pPr>
      <w:r>
        <w:rPr>
          <w:rFonts w:ascii="仿宋_GB2312" w:hAnsi="宋体" w:cs="仿宋_GB2312"/>
          <w:szCs w:val="32"/>
        </w:rPr>
        <w:t>4.通过统计、稽核等方式研究分析所监管企业国有资产的运行状况，建立和完善国有资产保值增值指标体系，维护国有资产出资人的权益。</w:t>
      </w:r>
    </w:p>
    <w:p>
      <w:pPr>
        <w:snapToGrid w:val="0"/>
        <w:spacing w:line="560" w:lineRule="exact"/>
        <w:ind w:firstLine="640" w:firstLineChars="200"/>
        <w:rPr>
          <w:rFonts w:ascii="仿宋_GB2312" w:hAnsi="宋体" w:cs="仿宋_GB2312"/>
          <w:szCs w:val="32"/>
        </w:rPr>
      </w:pPr>
      <w:r>
        <w:rPr>
          <w:rFonts w:ascii="仿宋_GB2312" w:hAnsi="宋体" w:cs="仿宋_GB2312"/>
          <w:szCs w:val="32"/>
        </w:rPr>
        <w:t>5.按照干部管理权限对所监管企业负责人进行任免、考核并根据其经营业绩进行奖惩；联系、协调有关部门对企业负责人任期经营成果及经济责任实施审计，完善经营者激励和约束制度。</w:t>
      </w:r>
    </w:p>
    <w:p>
      <w:pPr>
        <w:snapToGrid w:val="0"/>
        <w:spacing w:line="560" w:lineRule="exact"/>
        <w:ind w:firstLine="640" w:firstLineChars="200"/>
        <w:rPr>
          <w:rFonts w:ascii="仿宋_GB2312" w:hAnsi="宋体" w:cs="仿宋_GB2312"/>
          <w:szCs w:val="32"/>
        </w:rPr>
      </w:pPr>
      <w:r>
        <w:rPr>
          <w:rFonts w:ascii="仿宋_GB2312" w:hAnsi="宋体" w:cs="仿宋_GB2312"/>
          <w:szCs w:val="32"/>
        </w:rPr>
        <w:t>6.研究建立符合现代企业制度要求的选人、用人机制，负责所管理单位领导班子、领导人员管理和建设。</w:t>
      </w:r>
    </w:p>
    <w:p>
      <w:pPr>
        <w:snapToGrid w:val="0"/>
        <w:spacing w:line="560" w:lineRule="exact"/>
        <w:ind w:firstLine="640" w:firstLineChars="200"/>
        <w:rPr>
          <w:rFonts w:ascii="仿宋_GB2312" w:hAnsi="宋体" w:cs="仿宋_GB2312"/>
          <w:szCs w:val="32"/>
        </w:rPr>
      </w:pPr>
      <w:r>
        <w:rPr>
          <w:rFonts w:ascii="仿宋_GB2312" w:hAnsi="宋体" w:cs="仿宋_GB2312"/>
          <w:szCs w:val="32"/>
        </w:rPr>
        <w:t>7.负责组织所监管企业上交国有资本收益，按照有关规定负责所监管企业国有资本经营预决算建议草案的编制和执行等工作。</w:t>
      </w:r>
    </w:p>
    <w:p>
      <w:pPr>
        <w:snapToGrid w:val="0"/>
        <w:spacing w:line="560" w:lineRule="exact"/>
        <w:ind w:firstLine="640" w:firstLineChars="200"/>
        <w:rPr>
          <w:rFonts w:ascii="仿宋_GB2312" w:hAnsi="宋体" w:cs="仿宋_GB2312"/>
          <w:szCs w:val="32"/>
        </w:rPr>
      </w:pPr>
      <w:r>
        <w:rPr>
          <w:rFonts w:ascii="仿宋_GB2312" w:hAnsi="宋体" w:cs="仿宋_GB2312"/>
          <w:szCs w:val="32"/>
        </w:rPr>
        <w:t>8.指导和规范所监管企业监事会、董事会的相关工作，代表区政府向所监管国有独资公司派出监事会，向国有及国有（相对）控股、参股公司委派监事、董事。</w:t>
      </w:r>
    </w:p>
    <w:p>
      <w:pPr>
        <w:snapToGrid w:val="0"/>
        <w:spacing w:line="560" w:lineRule="exact"/>
        <w:ind w:firstLine="640" w:firstLineChars="200"/>
        <w:rPr>
          <w:rFonts w:ascii="仿宋_GB2312" w:hAnsi="宋体" w:cs="仿宋_GB2312"/>
          <w:szCs w:val="32"/>
        </w:rPr>
      </w:pPr>
      <w:r>
        <w:rPr>
          <w:rFonts w:ascii="仿宋_GB2312" w:hAnsi="宋体" w:cs="仿宋_GB2312"/>
          <w:szCs w:val="32"/>
        </w:rPr>
        <w:t>9.负责本系统人才工作的宏观管理和人才队伍建设，指导和组织协调本系统各单位的人才教育培训工作。</w:t>
      </w:r>
    </w:p>
    <w:p>
      <w:pPr>
        <w:snapToGrid w:val="0"/>
        <w:spacing w:line="560" w:lineRule="exact"/>
        <w:ind w:firstLine="640" w:firstLineChars="200"/>
        <w:rPr>
          <w:rFonts w:ascii="仿宋_GB2312" w:hAnsi="宋体" w:cs="仿宋_GB2312"/>
          <w:szCs w:val="32"/>
        </w:rPr>
      </w:pPr>
      <w:r>
        <w:rPr>
          <w:rFonts w:ascii="仿宋_GB2312" w:hAnsi="宋体" w:cs="仿宋_GB2312"/>
          <w:szCs w:val="32"/>
        </w:rPr>
        <w:t>10.承办区委、区政府和上级业务指导部门交办的其他事项。</w:t>
      </w:r>
    </w:p>
    <w:p>
      <w:pPr>
        <w:pStyle w:val="2"/>
        <w:spacing w:before="120" w:after="120"/>
        <w:rPr>
          <w:rFonts w:ascii="仿宋_GB2312" w:eastAsia="仿宋_GB2312"/>
          <w:sz w:val="32"/>
          <w:szCs w:val="32"/>
        </w:rPr>
      </w:pPr>
      <w:bookmarkStart w:id="1" w:name="_Toc4218"/>
      <w:r>
        <w:rPr>
          <w:rFonts w:ascii="仿宋_GB2312" w:eastAsia="仿宋_GB2312"/>
          <w:sz w:val="32"/>
          <w:szCs w:val="32"/>
        </w:rPr>
        <w:t>二、预算</w:t>
      </w:r>
      <w:r>
        <w:rPr>
          <w:rFonts w:hint="eastAsia" w:ascii="仿宋_GB2312" w:eastAsia="仿宋_GB2312"/>
          <w:sz w:val="32"/>
          <w:szCs w:val="32"/>
        </w:rPr>
        <w:t>收支总体情况</w:t>
      </w:r>
      <w:bookmarkEnd w:id="1"/>
    </w:p>
    <w:p>
      <w:pPr>
        <w:snapToGrid w:val="0"/>
        <w:spacing w:line="560" w:lineRule="exact"/>
        <w:ind w:firstLine="640" w:firstLineChars="200"/>
        <w:rPr>
          <w:rFonts w:hint="eastAsia" w:ascii="仿宋_GB2312" w:hAnsi="宋体" w:cs="仿宋_GB2312"/>
          <w:szCs w:val="32"/>
        </w:rPr>
      </w:pPr>
      <w:r>
        <w:rPr>
          <w:rFonts w:ascii="仿宋_GB2312" w:hAnsi="宋体" w:cs="仿宋_GB2312"/>
          <w:szCs w:val="32"/>
        </w:rPr>
        <w:t>2018年部门预算收入24,862,310.49元，其中：财政拨款24,862,310.49元，相比2017年增加5,931,307.59元，部门预算总体增加的主要原因：一是基本支出比2017年增加了2664880.41元，由于人员工资结构调整，人员基本工资、津贴补贴、各类社会保障缴费、住房改革支出以及日常公用经费都相应地增加；二是项目支出增加了3266427.18元，因为2018年度新增了信息化运维费、国有企业领导人员经济成果审计、党建宣传片、视频系统硬件采购和专职安全员配备“移动检查终端及三年服务费”等项目，同时部分原有项目因工作需要经费支出提高了金额。</w:t>
      </w:r>
    </w:p>
    <w:p>
      <w:pPr>
        <w:snapToGrid w:val="0"/>
        <w:spacing w:line="560" w:lineRule="exact"/>
        <w:ind w:firstLine="640" w:firstLineChars="200"/>
        <w:rPr>
          <w:rFonts w:hint="eastAsia" w:ascii="仿宋_GB2312" w:hAnsi="宋体" w:cs="仿宋_GB2312"/>
          <w:szCs w:val="32"/>
        </w:rPr>
      </w:pPr>
      <w:r>
        <w:rPr>
          <w:rFonts w:ascii="仿宋_GB2312" w:hAnsi="宋体" w:cs="仿宋_GB2312"/>
          <w:szCs w:val="32"/>
        </w:rPr>
        <w:t>机关运行经费</w:t>
      </w:r>
      <w:r>
        <w:rPr>
          <w:rFonts w:hint="eastAsia" w:ascii="仿宋_GB2312" w:hAnsi="宋体" w:cs="仿宋_GB2312"/>
          <w:szCs w:val="32"/>
        </w:rPr>
        <w:t>：</w:t>
      </w:r>
      <w:r>
        <w:rPr>
          <w:rFonts w:ascii="仿宋_GB2312" w:hAnsi="宋体" w:cs="仿宋_GB2312"/>
          <w:szCs w:val="32"/>
        </w:rPr>
        <w:t>机关运行经费是指各部门的公用经费之和，2018年部门预算机关运行经费预算安排784711.48元，预计主要用于办公费（105600元）、办公用房水电费（106480元）、邮电费（45000元）、办公用户采暖费（107226元）、公车运行费（67500元）、福利费（118272元）、日常维修费（8800元）、会议费（13200元）、培训费（44800元）职工教育费（93003.48元）、差旅费（33440元）、党员活动经费24800元、退休人员管理费16590元等。</w:t>
      </w:r>
    </w:p>
    <w:p>
      <w:pPr>
        <w:pStyle w:val="2"/>
        <w:spacing w:before="120" w:after="120"/>
        <w:rPr>
          <w:rFonts w:hint="eastAsia" w:ascii="仿宋_GB2312" w:eastAsia="仿宋_GB2312"/>
          <w:sz w:val="32"/>
          <w:szCs w:val="32"/>
        </w:rPr>
      </w:pPr>
      <w:bookmarkStart w:id="2" w:name="_Toc17560"/>
      <w:r>
        <w:rPr>
          <w:rFonts w:ascii="仿宋_GB2312" w:eastAsia="仿宋_GB2312"/>
          <w:sz w:val="32"/>
          <w:szCs w:val="32"/>
        </w:rPr>
        <w:t>三、 “三公”经费安排情况</w:t>
      </w:r>
      <w:bookmarkEnd w:id="2"/>
    </w:p>
    <w:p>
      <w:pPr>
        <w:snapToGrid w:val="0"/>
        <w:spacing w:line="560" w:lineRule="exact"/>
        <w:ind w:firstLine="640" w:firstLineChars="200"/>
        <w:rPr>
          <w:rFonts w:ascii="仿宋_GB2312" w:hAnsi="宋体" w:cs="仿宋_GB2312"/>
          <w:szCs w:val="32"/>
        </w:rPr>
      </w:pPr>
      <w:r>
        <w:rPr>
          <w:rFonts w:ascii="仿宋_GB2312" w:hAnsi="宋体" w:cs="仿宋_GB2312"/>
          <w:szCs w:val="32"/>
        </w:rPr>
        <w:t>2018年部门预算“三公”经费财政拨款预算安排76045.47元，其中：</w:t>
      </w:r>
    </w:p>
    <w:p>
      <w:pPr>
        <w:snapToGrid w:val="0"/>
        <w:spacing w:line="560" w:lineRule="exact"/>
        <w:ind w:firstLine="640" w:firstLineChars="200"/>
        <w:rPr>
          <w:rFonts w:ascii="仿宋_GB2312" w:hAnsi="宋体" w:cs="仿宋_GB2312"/>
          <w:szCs w:val="32"/>
        </w:rPr>
      </w:pPr>
      <w:r>
        <w:rPr>
          <w:rFonts w:ascii="仿宋_GB2312" w:hAnsi="宋体" w:cs="仿宋_GB2312"/>
          <w:szCs w:val="32"/>
        </w:rPr>
        <w:t>1、因公出国（境）费</w:t>
      </w:r>
    </w:p>
    <w:p>
      <w:pPr>
        <w:snapToGrid w:val="0"/>
        <w:spacing w:line="560" w:lineRule="exact"/>
        <w:ind w:firstLine="640" w:firstLineChars="200"/>
        <w:rPr>
          <w:rFonts w:ascii="仿宋_GB2312" w:hAnsi="宋体" w:cs="仿宋_GB2312"/>
          <w:szCs w:val="32"/>
        </w:rPr>
      </w:pPr>
      <w:r>
        <w:rPr>
          <w:rFonts w:ascii="仿宋_GB2312" w:hAnsi="宋体" w:cs="仿宋_GB2312"/>
          <w:szCs w:val="32"/>
        </w:rPr>
        <w:t>2018年财政拨款预算安排0元，与2017年一致。</w:t>
      </w:r>
    </w:p>
    <w:p>
      <w:pPr>
        <w:snapToGrid w:val="0"/>
        <w:spacing w:line="560" w:lineRule="exact"/>
        <w:ind w:firstLine="640" w:firstLineChars="200"/>
        <w:rPr>
          <w:rFonts w:ascii="仿宋_GB2312" w:hAnsi="宋体" w:cs="仿宋_GB2312"/>
          <w:szCs w:val="32"/>
        </w:rPr>
      </w:pPr>
      <w:r>
        <w:rPr>
          <w:rFonts w:ascii="仿宋_GB2312" w:hAnsi="宋体" w:cs="仿宋_GB2312"/>
          <w:szCs w:val="32"/>
        </w:rPr>
        <w:t>2、公务接待费</w:t>
      </w:r>
    </w:p>
    <w:p>
      <w:pPr>
        <w:snapToGrid w:val="0"/>
        <w:spacing w:line="560" w:lineRule="exact"/>
        <w:ind w:firstLine="640" w:firstLineChars="200"/>
        <w:rPr>
          <w:rFonts w:ascii="仿宋_GB2312" w:hAnsi="宋体" w:cs="仿宋_GB2312"/>
          <w:szCs w:val="32"/>
        </w:rPr>
      </w:pPr>
      <w:r>
        <w:rPr>
          <w:rFonts w:ascii="仿宋_GB2312" w:hAnsi="宋体" w:cs="仿宋_GB2312"/>
          <w:szCs w:val="32"/>
        </w:rPr>
        <w:t>2018年财政拨款预算安排8545.47元，与2017年一致。</w:t>
      </w:r>
    </w:p>
    <w:p>
      <w:pPr>
        <w:snapToGrid w:val="0"/>
        <w:spacing w:line="560" w:lineRule="exact"/>
        <w:ind w:firstLine="640" w:firstLineChars="200"/>
        <w:rPr>
          <w:rFonts w:ascii="仿宋_GB2312" w:hAnsi="宋体" w:cs="仿宋_GB2312"/>
          <w:szCs w:val="32"/>
        </w:rPr>
      </w:pPr>
      <w:r>
        <w:rPr>
          <w:rFonts w:ascii="仿宋_GB2312" w:hAnsi="宋体" w:cs="仿宋_GB2312"/>
          <w:szCs w:val="32"/>
        </w:rPr>
        <w:t>3、公务用车购置及运行维护费</w:t>
      </w:r>
    </w:p>
    <w:p>
      <w:pPr>
        <w:snapToGrid w:val="0"/>
        <w:spacing w:line="560" w:lineRule="exact"/>
        <w:ind w:firstLine="640" w:firstLineChars="200"/>
        <w:rPr>
          <w:rFonts w:ascii="仿宋_GB2312" w:hAnsi="宋体" w:cs="仿宋_GB2312"/>
          <w:szCs w:val="32"/>
        </w:rPr>
      </w:pPr>
      <w:r>
        <w:rPr>
          <w:rFonts w:ascii="仿宋_GB2312" w:hAnsi="宋体" w:cs="仿宋_GB2312"/>
          <w:szCs w:val="32"/>
        </w:rPr>
        <w:t>2018年财政拨款预算安排67500元，其中公务用车购置费0元，公务用车运行维护费67500元，与2017年一致。</w:t>
      </w:r>
    </w:p>
    <w:p>
      <w:pPr>
        <w:pStyle w:val="2"/>
        <w:spacing w:before="120" w:after="120"/>
        <w:rPr>
          <w:rFonts w:ascii="仿宋_GB2312" w:eastAsia="仿宋_GB2312"/>
          <w:sz w:val="32"/>
          <w:szCs w:val="32"/>
        </w:rPr>
      </w:pPr>
      <w:bookmarkStart w:id="3" w:name="_Toc31166"/>
      <w:r>
        <w:rPr>
          <w:rFonts w:hint="eastAsia" w:ascii="仿宋_GB2312" w:eastAsia="仿宋_GB2312"/>
          <w:sz w:val="32"/>
          <w:szCs w:val="32"/>
        </w:rPr>
        <w:t>四、</w:t>
      </w:r>
      <w:r>
        <w:rPr>
          <w:rFonts w:ascii="仿宋_GB2312" w:eastAsia="仿宋_GB2312"/>
          <w:sz w:val="32"/>
          <w:szCs w:val="32"/>
        </w:rPr>
        <w:t>政府采购</w:t>
      </w:r>
      <w:r>
        <w:rPr>
          <w:rFonts w:hint="eastAsia" w:ascii="仿宋_GB2312" w:eastAsia="仿宋_GB2312"/>
          <w:sz w:val="32"/>
          <w:szCs w:val="32"/>
        </w:rPr>
        <w:t>及</w:t>
      </w:r>
      <w:r>
        <w:rPr>
          <w:rFonts w:ascii="仿宋_GB2312" w:eastAsia="仿宋_GB2312"/>
          <w:sz w:val="32"/>
          <w:szCs w:val="32"/>
        </w:rPr>
        <w:t>政府购买服务</w:t>
      </w:r>
      <w:r>
        <w:rPr>
          <w:rFonts w:hint="eastAsia" w:ascii="仿宋_GB2312" w:eastAsia="仿宋_GB2312"/>
          <w:sz w:val="32"/>
          <w:szCs w:val="32"/>
        </w:rPr>
        <w:t>安排情况</w:t>
      </w:r>
      <w:bookmarkEnd w:id="3"/>
    </w:p>
    <w:p>
      <w:pPr>
        <w:snapToGrid w:val="0"/>
        <w:spacing w:line="560" w:lineRule="exact"/>
        <w:ind w:firstLine="640" w:firstLineChars="200"/>
        <w:rPr>
          <w:rFonts w:hint="eastAsia" w:ascii="仿宋_GB2312" w:hAnsi="宋体" w:cs="仿宋_GB2312"/>
          <w:szCs w:val="32"/>
        </w:rPr>
      </w:pPr>
      <w:r>
        <w:rPr>
          <w:rFonts w:ascii="仿宋_GB2312" w:hAnsi="宋体" w:cs="仿宋_GB2312"/>
          <w:szCs w:val="32"/>
        </w:rPr>
        <w:t>政府采购和政府购买服务项目：</w:t>
      </w:r>
      <w:r>
        <w:rPr>
          <w:rFonts w:hint="eastAsia" w:ascii="仿宋_GB2312" w:hAnsi="宋体" w:cs="仿宋_GB2312"/>
          <w:szCs w:val="32"/>
        </w:rPr>
        <w:t>政府采购涉及2个项目共计160144元；涉及政府购买服务5个项目，共3363800元。</w:t>
      </w:r>
    </w:p>
    <w:p>
      <w:pPr>
        <w:pStyle w:val="2"/>
        <w:spacing w:before="120" w:after="120"/>
        <w:rPr>
          <w:rFonts w:hint="eastAsia" w:ascii="仿宋_GB2312" w:eastAsia="仿宋_GB2312"/>
          <w:sz w:val="32"/>
          <w:szCs w:val="32"/>
          <w:lang w:val="en-US" w:eastAsia="zh-CN"/>
        </w:rPr>
      </w:pPr>
      <w:bookmarkStart w:id="4" w:name="_Toc26044"/>
      <w:r>
        <w:rPr>
          <w:rFonts w:hint="eastAsia" w:ascii="仿宋_GB2312" w:eastAsia="仿宋_GB2312"/>
          <w:sz w:val="32"/>
          <w:szCs w:val="32"/>
        </w:rPr>
        <w:t>五、</w:t>
      </w:r>
      <w:r>
        <w:rPr>
          <w:rFonts w:hint="eastAsia" w:ascii="仿宋_GB2312" w:eastAsia="仿宋_GB2312"/>
          <w:sz w:val="32"/>
          <w:szCs w:val="32"/>
          <w:lang w:val="en-US" w:eastAsia="zh-CN"/>
        </w:rPr>
        <w:t>重点项目支出绩效目标情况说明</w:t>
      </w:r>
      <w:bookmarkEnd w:id="4"/>
    </w:p>
    <w:p>
      <w:pPr>
        <w:snapToGrid w:val="0"/>
        <w:spacing w:line="560" w:lineRule="exact"/>
        <w:ind w:firstLine="640" w:firstLineChars="200"/>
        <w:rPr>
          <w:rFonts w:hint="eastAsia" w:ascii="仿宋_GB2312" w:hAnsi="宋体" w:cs="仿宋_GB2312"/>
          <w:szCs w:val="32"/>
        </w:rPr>
      </w:pPr>
      <w:r>
        <w:rPr>
          <w:rFonts w:hint="eastAsia" w:ascii="仿宋_GB2312" w:hAnsi="宋体" w:cs="仿宋_GB2312"/>
          <w:szCs w:val="32"/>
        </w:rPr>
        <w:t>2018年度开展绩效评价工作的重点项目共两个：</w:t>
      </w:r>
    </w:p>
    <w:p>
      <w:pPr>
        <w:snapToGrid w:val="0"/>
        <w:spacing w:line="560" w:lineRule="exact"/>
        <w:ind w:firstLine="640" w:firstLineChars="200"/>
        <w:rPr>
          <w:rFonts w:hint="eastAsia" w:ascii="仿宋_GB2312" w:hAnsi="宋体" w:cs="仿宋_GB2312"/>
          <w:szCs w:val="32"/>
        </w:rPr>
      </w:pPr>
      <w:r>
        <w:rPr>
          <w:rFonts w:hint="eastAsia" w:ascii="仿宋_GB2312" w:hAnsi="宋体" w:cs="仿宋_GB2312"/>
          <w:szCs w:val="32"/>
        </w:rPr>
        <w:t>1、办公楼房租金：项目金额255万元，绩效目标：充分保障办公条件和需求，促进我单位各项工作，加强监管，优化服务，以国有资产保值增值为目标，切实履行监管职责，更好地为国有资产监督管理工作服务，保障我区国有资产保值增值任务落实到位。定期要求房屋租赁公司对房屋进行修整并进行安全检查，确保办公场所的安全，保证办公的顺利进行。</w:t>
      </w:r>
    </w:p>
    <w:p>
      <w:pPr>
        <w:snapToGrid w:val="0"/>
        <w:spacing w:line="560" w:lineRule="exact"/>
        <w:ind w:firstLine="640" w:firstLineChars="200"/>
        <w:rPr>
          <w:rFonts w:hint="eastAsia" w:ascii="仿宋_GB2312" w:hAnsi="宋体" w:cs="仿宋_GB2312"/>
          <w:szCs w:val="32"/>
        </w:rPr>
      </w:pPr>
      <w:r>
        <w:rPr>
          <w:rFonts w:hint="eastAsia" w:ascii="仿宋_GB2312" w:hAnsi="宋体" w:cs="仿宋_GB2312"/>
          <w:szCs w:val="32"/>
        </w:rPr>
        <w:t>2、企业年度审计费：项目金额195万元，绩效目标：根据国务院国资委及北京市国资委《关于做好年度地方国资委企业财务决算管理及报表编制工作的通知》要求，做好地方国有资产统计及区属国有企业年度财务决算工作，为区领导及委领导的决策及区属国有企业发展提供数据支持，及时防范企业重大财务风险。</w:t>
      </w:r>
    </w:p>
    <w:p>
      <w:pPr>
        <w:pStyle w:val="2"/>
        <w:spacing w:before="120" w:after="120"/>
        <w:rPr>
          <w:rFonts w:hint="eastAsia" w:ascii="仿宋_GB2312" w:eastAsia="仿宋_GB2312"/>
          <w:sz w:val="32"/>
          <w:szCs w:val="32"/>
          <w:lang w:val="en-US" w:eastAsia="zh-CN"/>
        </w:rPr>
      </w:pPr>
      <w:bookmarkStart w:id="5" w:name="_Toc16283"/>
      <w:r>
        <w:rPr>
          <w:rFonts w:hint="eastAsia" w:ascii="仿宋_GB2312" w:eastAsia="仿宋_GB2312"/>
          <w:sz w:val="32"/>
          <w:szCs w:val="32"/>
          <w:lang w:val="en-US" w:eastAsia="zh-CN"/>
        </w:rPr>
        <w:t>六、国有资产占用情况说明</w:t>
      </w:r>
      <w:bookmarkEnd w:id="5"/>
    </w:p>
    <w:p>
      <w:pPr>
        <w:snapToGrid w:val="0"/>
        <w:spacing w:line="560" w:lineRule="exact"/>
        <w:ind w:firstLine="640" w:firstLineChars="200"/>
        <w:rPr>
          <w:rFonts w:ascii="仿宋_GB2312" w:hAnsi="宋体" w:cs="仿宋_GB2312"/>
          <w:szCs w:val="32"/>
        </w:rPr>
      </w:pPr>
      <w:r>
        <w:rPr>
          <w:rFonts w:hint="eastAsia" w:ascii="仿宋_GB2312" w:hAnsi="宋体" w:cs="仿宋_GB2312"/>
          <w:sz w:val="32"/>
          <w:szCs w:val="32"/>
          <w:lang w:val="en-US" w:eastAsia="zh-CN"/>
        </w:rPr>
        <w:t>截止至2017年年底，</w:t>
      </w:r>
      <w:r>
        <w:rPr>
          <w:rFonts w:hint="eastAsia" w:ascii="仿宋_GB2312" w:hAnsi="宋体" w:eastAsia="仿宋_GB2312" w:cs="仿宋_GB2312"/>
          <w:sz w:val="32"/>
          <w:szCs w:val="32"/>
          <w:lang w:val="en-US" w:eastAsia="zh-CN"/>
        </w:rPr>
        <w:t>区国资委</w:t>
      </w:r>
      <w:r>
        <w:rPr>
          <w:rFonts w:hint="eastAsia" w:ascii="仿宋_GB2312" w:hAnsi="宋体" w:eastAsia="仿宋_GB2312" w:cs="仿宋_GB2312"/>
          <w:sz w:val="32"/>
          <w:szCs w:val="32"/>
        </w:rPr>
        <w:t>固定资产</w:t>
      </w:r>
      <w:r>
        <w:rPr>
          <w:rFonts w:hint="eastAsia" w:ascii="仿宋_GB2312" w:hAnsi="宋体" w:eastAsia="仿宋_GB2312" w:cs="仿宋_GB2312"/>
          <w:sz w:val="32"/>
          <w:szCs w:val="32"/>
          <w:lang w:val="en-US" w:eastAsia="zh-CN"/>
        </w:rPr>
        <w:t>共</w:t>
      </w:r>
      <w:r>
        <w:rPr>
          <w:rFonts w:hint="eastAsia" w:ascii="仿宋_GB2312" w:hAnsi="宋体" w:eastAsia="仿宋_GB2312" w:cs="仿宋_GB2312"/>
          <w:sz w:val="32"/>
          <w:szCs w:val="32"/>
        </w:rPr>
        <w:t>518.09万元，</w:t>
      </w:r>
      <w:r>
        <w:rPr>
          <w:rFonts w:hint="eastAsia" w:ascii="仿宋_GB2312" w:hAnsi="宋体" w:eastAsia="仿宋_GB2312" w:cs="仿宋_GB2312"/>
          <w:sz w:val="32"/>
          <w:szCs w:val="32"/>
          <w:lang w:val="en-US" w:eastAsia="zh-CN"/>
        </w:rPr>
        <w:t>其中：车辆3台，共64.82万元；</w:t>
      </w:r>
      <w:r>
        <w:rPr>
          <w:rFonts w:hint="eastAsia" w:ascii="仿宋_GB2312" w:hAnsi="宋体" w:eastAsia="仿宋_GB2312" w:cs="仿宋_GB2312"/>
          <w:sz w:val="32"/>
          <w:szCs w:val="32"/>
          <w:highlight w:val="none"/>
          <w:lang w:val="en-US" w:eastAsia="zh-CN"/>
        </w:rPr>
        <w:t>单位价值50万元以上的通用设备2套，共169.6万元。</w:t>
      </w:r>
      <w:r>
        <w:rPr>
          <w:rFonts w:hint="eastAsia" w:ascii="仿宋_GB2312" w:hAnsi="宋体" w:cs="仿宋_GB2312"/>
          <w:szCs w:val="32"/>
        </w:rPr>
        <w:t>本年度拟新购置</w:t>
      </w:r>
      <w:r>
        <w:rPr>
          <w:rFonts w:ascii="仿宋_GB2312" w:hAnsi="宋体" w:cs="仿宋_GB2312"/>
          <w:szCs w:val="32"/>
        </w:rPr>
        <w:t>视频系统硬件</w:t>
      </w:r>
      <w:r>
        <w:rPr>
          <w:rFonts w:hint="eastAsia" w:ascii="仿宋_GB2312" w:hAnsi="宋体" w:cs="仿宋_GB2312"/>
          <w:szCs w:val="32"/>
        </w:rPr>
        <w:t>、</w:t>
      </w:r>
      <w:r>
        <w:rPr>
          <w:rFonts w:ascii="仿宋_GB2312" w:hAnsi="宋体" w:cs="仿宋_GB2312"/>
          <w:szCs w:val="32"/>
        </w:rPr>
        <w:t>专职安全员配备移动检查终端</w:t>
      </w:r>
      <w:r>
        <w:rPr>
          <w:rFonts w:hint="eastAsia" w:ascii="仿宋_GB2312" w:hAnsi="宋体" w:cs="仿宋_GB2312"/>
          <w:szCs w:val="32"/>
        </w:rPr>
        <w:t>。</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3A"/>
    <w:rsid w:val="0000392F"/>
    <w:rsid w:val="00013DBD"/>
    <w:rsid w:val="00040546"/>
    <w:rsid w:val="000C48F8"/>
    <w:rsid w:val="00185805"/>
    <w:rsid w:val="001910D1"/>
    <w:rsid w:val="001A323A"/>
    <w:rsid w:val="001E3A8E"/>
    <w:rsid w:val="0021097B"/>
    <w:rsid w:val="00245DB5"/>
    <w:rsid w:val="002B4409"/>
    <w:rsid w:val="003D1011"/>
    <w:rsid w:val="00400B52"/>
    <w:rsid w:val="00427FA6"/>
    <w:rsid w:val="0046429E"/>
    <w:rsid w:val="004837FA"/>
    <w:rsid w:val="004B407E"/>
    <w:rsid w:val="004C4DA2"/>
    <w:rsid w:val="004F0681"/>
    <w:rsid w:val="00561762"/>
    <w:rsid w:val="005C18C4"/>
    <w:rsid w:val="005C2F14"/>
    <w:rsid w:val="005D779A"/>
    <w:rsid w:val="00614470"/>
    <w:rsid w:val="00634B10"/>
    <w:rsid w:val="00666C04"/>
    <w:rsid w:val="00710789"/>
    <w:rsid w:val="00773E7B"/>
    <w:rsid w:val="007A1825"/>
    <w:rsid w:val="007C5C7A"/>
    <w:rsid w:val="007E3773"/>
    <w:rsid w:val="007E7717"/>
    <w:rsid w:val="00852096"/>
    <w:rsid w:val="00852EDB"/>
    <w:rsid w:val="00883D9B"/>
    <w:rsid w:val="00894044"/>
    <w:rsid w:val="009066C8"/>
    <w:rsid w:val="0091725D"/>
    <w:rsid w:val="00981BB9"/>
    <w:rsid w:val="009A591E"/>
    <w:rsid w:val="009D40DA"/>
    <w:rsid w:val="00A17E3F"/>
    <w:rsid w:val="00A74DAD"/>
    <w:rsid w:val="00A95A65"/>
    <w:rsid w:val="00AA48C9"/>
    <w:rsid w:val="00AB2F0D"/>
    <w:rsid w:val="00B128AC"/>
    <w:rsid w:val="00B12B6A"/>
    <w:rsid w:val="00B15976"/>
    <w:rsid w:val="00B50919"/>
    <w:rsid w:val="00B7557F"/>
    <w:rsid w:val="00BD4484"/>
    <w:rsid w:val="00BE0F9D"/>
    <w:rsid w:val="00BE34F9"/>
    <w:rsid w:val="00C1293E"/>
    <w:rsid w:val="00C33D85"/>
    <w:rsid w:val="00C351CC"/>
    <w:rsid w:val="00C41380"/>
    <w:rsid w:val="00C578CD"/>
    <w:rsid w:val="00C83A73"/>
    <w:rsid w:val="00D1630E"/>
    <w:rsid w:val="00D43080"/>
    <w:rsid w:val="00D830F8"/>
    <w:rsid w:val="00DA612A"/>
    <w:rsid w:val="00E01DB0"/>
    <w:rsid w:val="00E27F14"/>
    <w:rsid w:val="00E425EC"/>
    <w:rsid w:val="00E434E1"/>
    <w:rsid w:val="00E82FC8"/>
    <w:rsid w:val="00E848A7"/>
    <w:rsid w:val="00ED763E"/>
    <w:rsid w:val="00EE003B"/>
    <w:rsid w:val="00EE6783"/>
    <w:rsid w:val="00F00069"/>
    <w:rsid w:val="00F20E4D"/>
    <w:rsid w:val="00F26559"/>
    <w:rsid w:val="00F56BF8"/>
    <w:rsid w:val="00F9008E"/>
    <w:rsid w:val="00F962A7"/>
    <w:rsid w:val="00FC1CFC"/>
    <w:rsid w:val="08BF7F1D"/>
    <w:rsid w:val="0D507768"/>
    <w:rsid w:val="357029E2"/>
    <w:rsid w:val="49E24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rFonts w:eastAsiaTheme="minorEastAsia"/>
      <w:kern w:val="0"/>
      <w:sz w:val="22"/>
      <w:szCs w:val="22"/>
    </w:r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rFonts w:eastAsiaTheme="minorEastAsia"/>
      <w:kern w:val="0"/>
      <w:sz w:val="22"/>
      <w:szCs w:val="22"/>
    </w:rPr>
  </w:style>
  <w:style w:type="paragraph" w:styleId="8">
    <w:name w:val="toc 2"/>
    <w:basedOn w:val="1"/>
    <w:next w:val="1"/>
    <w:semiHidden/>
    <w:unhideWhenUsed/>
    <w:qFormat/>
    <w:uiPriority w:val="39"/>
    <w:pPr>
      <w:widowControl/>
      <w:spacing w:after="100" w:line="276" w:lineRule="auto"/>
      <w:ind w:left="220"/>
      <w:jc w:val="left"/>
    </w:pPr>
    <w:rPr>
      <w:rFonts w:eastAsiaTheme="minorEastAsia"/>
      <w:kern w:val="0"/>
      <w:sz w:val="22"/>
      <w:szCs w:val="22"/>
    </w:rPr>
  </w:style>
  <w:style w:type="character" w:styleId="11">
    <w:name w:val="Hyperlink"/>
    <w:basedOn w:val="10"/>
    <w:unhideWhenUsed/>
    <w:uiPriority w:val="99"/>
    <w:rPr>
      <w:color w:val="0563C1" w:themeColor="hyperlink"/>
      <w:u w:val="single"/>
      <w14:textFill>
        <w14:solidFill>
          <w14:schemeClr w14:val="hlink"/>
        </w14:solidFill>
      </w14:textFill>
    </w:rPr>
  </w:style>
  <w:style w:type="character" w:customStyle="1" w:styleId="12">
    <w:name w:val="页眉 Char"/>
    <w:basedOn w:val="10"/>
    <w:link w:val="6"/>
    <w:qFormat/>
    <w:uiPriority w:val="0"/>
    <w:rPr>
      <w:rFonts w:eastAsia="仿宋_GB2312" w:asciiTheme="minorHAnsi" w:hAnsiTheme="minorHAnsi" w:cstheme="minorBidi"/>
      <w:kern w:val="2"/>
      <w:sz w:val="18"/>
      <w:szCs w:val="18"/>
    </w:rPr>
  </w:style>
  <w:style w:type="character" w:customStyle="1" w:styleId="13">
    <w:name w:val="页脚 Char"/>
    <w:basedOn w:val="10"/>
    <w:link w:val="5"/>
    <w:qFormat/>
    <w:uiPriority w:val="0"/>
    <w:rPr>
      <w:rFonts w:eastAsia="仿宋_GB2312" w:asciiTheme="minorHAnsi" w:hAnsiTheme="minorHAnsi" w:cstheme="minorBidi"/>
      <w:kern w:val="2"/>
      <w:sz w:val="18"/>
      <w:szCs w:val="18"/>
    </w:rPr>
  </w:style>
  <w:style w:type="character" w:customStyle="1" w:styleId="14">
    <w:name w:val="批注框文本 Char"/>
    <w:basedOn w:val="10"/>
    <w:link w:val="4"/>
    <w:qFormat/>
    <w:uiPriority w:val="0"/>
    <w:rPr>
      <w:rFonts w:eastAsia="仿宋_GB2312" w:asciiTheme="minorHAnsi" w:hAnsiTheme="minorHAnsi" w:cstheme="minorBidi"/>
      <w:kern w:val="2"/>
      <w:sz w:val="18"/>
      <w:szCs w:val="18"/>
    </w:rPr>
  </w:style>
  <w:style w:type="character" w:customStyle="1" w:styleId="15">
    <w:name w:val="标题 1 Char"/>
    <w:basedOn w:val="10"/>
    <w:link w:val="2"/>
    <w:uiPriority w:val="9"/>
    <w:rPr>
      <w:rFonts w:ascii="Calibri" w:hAnsi="Calibri"/>
      <w:b/>
      <w:bCs/>
      <w:kern w:val="44"/>
      <w:sz w:val="44"/>
      <w:szCs w:val="44"/>
    </w:rPr>
  </w:style>
  <w:style w:type="paragraph" w:customStyle="1" w:styleId="16">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F3D4DF-75A3-4157-B149-55FF056EA417}">
  <ds:schemaRefs/>
</ds:datastoreItem>
</file>

<file path=docProps/app.xml><?xml version="1.0" encoding="utf-8"?>
<Properties xmlns="http://schemas.openxmlformats.org/officeDocument/2006/extended-properties" xmlns:vt="http://schemas.openxmlformats.org/officeDocument/2006/docPropsVTypes">
  <Template>Normal</Template>
  <Pages>6</Pages>
  <Words>365</Words>
  <Characters>2086</Characters>
  <Lines>17</Lines>
  <Paragraphs>4</Paragraphs>
  <TotalTime>4</TotalTime>
  <ScaleCrop>false</ScaleCrop>
  <LinksUpToDate>false</LinksUpToDate>
  <CharactersWithSpaces>2447</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2019-01-22T07:13:00Z</dcterms:created>
  <dc:creator>蔡馨蕾</dc:creator>
  <cp:lastModifiedBy>Zhang</cp:lastModifiedBy>
  <dcterms:modified xsi:type="dcterms:W3CDTF">2019-01-31T06:26:18Z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