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项目支出绩效目标情况说明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6"/>
        <w:gridCol w:w="2754"/>
        <w:gridCol w:w="4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2" w:hRule="atLeast"/>
        </w:trPr>
        <w:tc>
          <w:tcPr>
            <w:tcW w:w="88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项目名称</w:t>
            </w:r>
          </w:p>
        </w:tc>
        <w:tc>
          <w:tcPr>
            <w:tcW w:w="4882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绩效目标情况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税务专网接入费</w:t>
            </w:r>
          </w:p>
        </w:tc>
        <w:tc>
          <w:tcPr>
            <w:tcW w:w="488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满足工作需要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土地增值税清算审核</w:t>
            </w:r>
            <w:r>
              <w:rPr>
                <w:rFonts w:hint="eastAsia"/>
                <w:vertAlign w:val="baseline"/>
                <w:lang w:eastAsia="zh-CN"/>
              </w:rPr>
              <w:t>服务费</w:t>
            </w:r>
          </w:p>
        </w:tc>
        <w:tc>
          <w:tcPr>
            <w:tcW w:w="488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1.完成土地增值税清算项目进行审核，并按照具体要求填写有关文书和记录；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2.编写土地增值税清算典型案例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3.完成土地增值税清算工作中所涉及的相关法规、文件的整理工作，做好审核工具表等文书的编写、完善等其它相关工作。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采取购买第三方服务土地增值税清算工作，以弥补专业性审核人员不足的短板，达到加快土地增值税清算进度和发挥组收入库的效果。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协税人员经费</w:t>
            </w:r>
          </w:p>
        </w:tc>
        <w:tc>
          <w:tcPr>
            <w:tcW w:w="488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加强西城区地方税收工作，更好地服务纳税人，保证纳税服务工作的顺利开展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视频监控系统改造经费</w:t>
            </w:r>
          </w:p>
        </w:tc>
        <w:tc>
          <w:tcPr>
            <w:tcW w:w="488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深入推进平安北京地税建设，有效地维护全系统安全稳定，更新税务所及新增办公地点安防设备，进一步提高全局安全维稳能力。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防雷设施改造项目经费</w:t>
            </w:r>
          </w:p>
        </w:tc>
        <w:tc>
          <w:tcPr>
            <w:tcW w:w="488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深入推进平安北京地税建设，有效地维护全系统安全稳定，增强技防力量，确保安全工作落到实处，进一步提高全局安全维稳能力。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消防火警报警系统更新经费</w:t>
            </w:r>
          </w:p>
        </w:tc>
        <w:tc>
          <w:tcPr>
            <w:tcW w:w="488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深入推进平安北京建设，有效地维护全系统安全稳定，更新维护各税务所消防火灾报警系统。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税务所房租费</w:t>
            </w:r>
          </w:p>
        </w:tc>
        <w:tc>
          <w:tcPr>
            <w:tcW w:w="488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按照合同约定支付税务所房租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75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食堂运行经费</w:t>
            </w:r>
          </w:p>
        </w:tc>
        <w:tc>
          <w:tcPr>
            <w:tcW w:w="488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按照食堂运行的要求支付运行经费，保障各办公区食堂的正常运行。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75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税务运行经费</w:t>
            </w:r>
          </w:p>
        </w:tc>
        <w:tc>
          <w:tcPr>
            <w:tcW w:w="4882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保障税收征管运行。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办公楼物业管理费</w:t>
            </w:r>
          </w:p>
        </w:tc>
        <w:tc>
          <w:tcPr>
            <w:tcW w:w="488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为了保障工作正常运转，为干部职工创造良好的办公环境。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办公用房修缮经费</w:t>
            </w:r>
          </w:p>
        </w:tc>
        <w:tc>
          <w:tcPr>
            <w:tcW w:w="488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及时满足工作维修的需要，做好维修保障。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第五税务所办公场所改造费用</w:t>
            </w:r>
          </w:p>
        </w:tc>
        <w:tc>
          <w:tcPr>
            <w:tcW w:w="488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按照工程进度完成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5657C"/>
    <w:rsid w:val="22A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2019-02-01T09:28:00Z</dcterms:created>
  <dc:creator>丛梅</dc:creator>
  <cp:lastModifiedBy>丛梅</cp:lastModifiedBy>
  <dcterms:modified xsi:type="dcterms:W3CDTF">2019-02-01T09:47:23Z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