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50"/>
        <w:jc w:val="center"/>
        <w:rPr>
          <w:rFonts w:hint="eastAsia" w:ascii="微软雅黑" w:hAnsi="微软雅黑" w:eastAsia="微软雅黑" w:cs="微软雅黑"/>
          <w:b/>
          <w:bCs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</w:rPr>
        <w:t>国有资产占用情况说明</w:t>
      </w:r>
      <w:bookmarkEnd w:id="0"/>
    </w:p>
    <w:p>
      <w:pPr>
        <w:pStyle w:val="2"/>
        <w:keepNext w:val="0"/>
        <w:keepLines w:val="0"/>
        <w:widowControl/>
        <w:suppressLineNumbers w:val="0"/>
        <w:ind w:left="0" w:firstLine="450"/>
      </w:pPr>
      <w:r>
        <w:t>截止2017年底，本部门固定资产总额30495.20万元，其中：车辆54台，91.84万元，单位价值50万元以上的通用设备0台，0万元，单位价值100万元以上的专用设备0台，0万元。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467AB"/>
    <w:rsid w:val="02F4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2019-02-02T05:46:00Z</dcterms:created>
  <dc:creator>丛梅</dc:creator>
  <cp:lastModifiedBy>丛梅</cp:lastModifiedBy>
  <dcterms:modified xsi:type="dcterms:W3CDTF">2019-02-02T05:57:51Z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