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88" w:rsidRDefault="00DB4090">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区国资委完成2019年度</w:t>
      </w:r>
    </w:p>
    <w:p w:rsidR="00172D88" w:rsidRDefault="00DB4090">
      <w:pPr>
        <w:spacing w:line="600" w:lineRule="exact"/>
        <w:jc w:val="center"/>
        <w:rPr>
          <w:rFonts w:ascii="仿宋" w:eastAsia="仿宋" w:hAnsi="仿宋"/>
          <w:sz w:val="44"/>
          <w:szCs w:val="44"/>
        </w:rPr>
      </w:pPr>
      <w:r>
        <w:rPr>
          <w:rFonts w:ascii="方正小标宋简体" w:eastAsia="方正小标宋简体" w:hAnsi="仿宋" w:hint="eastAsia"/>
          <w:sz w:val="44"/>
          <w:szCs w:val="44"/>
        </w:rPr>
        <w:t>国有资本经营预算批复工作</w:t>
      </w:r>
    </w:p>
    <w:p w:rsidR="00172D88" w:rsidRDefault="00172D88">
      <w:pPr>
        <w:ind w:firstLineChars="200" w:firstLine="640"/>
        <w:rPr>
          <w:rFonts w:ascii="仿宋" w:eastAsia="仿宋" w:hAnsi="仿宋"/>
          <w:sz w:val="32"/>
          <w:szCs w:val="32"/>
        </w:rPr>
      </w:pPr>
    </w:p>
    <w:p w:rsidR="00172D88" w:rsidRDefault="00DB4090">
      <w:pPr>
        <w:ind w:firstLineChars="200" w:firstLine="640"/>
        <w:rPr>
          <w:rFonts w:ascii="仿宋" w:eastAsia="仿宋" w:hAnsi="仿宋"/>
          <w:sz w:val="32"/>
          <w:szCs w:val="32"/>
        </w:rPr>
      </w:pPr>
      <w:r>
        <w:rPr>
          <w:rFonts w:ascii="仿宋" w:eastAsia="仿宋" w:hAnsi="仿宋" w:hint="eastAsia"/>
          <w:sz w:val="32"/>
          <w:szCs w:val="32"/>
        </w:rPr>
        <w:t>根据西城区第十六届人大第五次会议审议通过，区财政局批复西城区2019年国有资本经营预算。</w:t>
      </w:r>
    </w:p>
    <w:p w:rsidR="00172D88" w:rsidRDefault="00DB4090">
      <w:pPr>
        <w:tabs>
          <w:tab w:val="left" w:pos="1680"/>
        </w:tabs>
        <w:spacing w:line="580" w:lineRule="exact"/>
        <w:ind w:firstLine="630"/>
        <w:rPr>
          <w:rFonts w:ascii="仿宋_GB2312" w:eastAsia="仿宋_GB2312" w:hAnsi="Times New Roman" w:cs="Times New Roman"/>
          <w:sz w:val="32"/>
          <w:szCs w:val="24"/>
        </w:rPr>
      </w:pPr>
      <w:r>
        <w:rPr>
          <w:rFonts w:ascii="仿宋_GB2312" w:eastAsia="仿宋_GB2312" w:hAnsi="Times New Roman" w:cs="Times New Roman" w:hint="eastAsia"/>
          <w:sz w:val="32"/>
          <w:szCs w:val="24"/>
        </w:rPr>
        <w:t>国有资本经营预算收入总计20,190万元。其中：国有资本经营预算收入19,784万元，动用上年结余406万元。国有资本经营预算支出总计20,190万元。其中：国有资本经营预算支出安排13,525万元，国有资本经营预算调出资金5,654万元，本年结余1,011万元。</w:t>
      </w:r>
    </w:p>
    <w:p w:rsidR="00172D88" w:rsidRDefault="00DB4090">
      <w:pPr>
        <w:ind w:firstLineChars="200" w:firstLine="640"/>
        <w:rPr>
          <w:rFonts w:ascii="仿宋" w:eastAsia="仿宋" w:hAnsi="仿宋"/>
          <w:sz w:val="32"/>
          <w:szCs w:val="32"/>
        </w:rPr>
      </w:pPr>
      <w:r>
        <w:rPr>
          <w:rFonts w:ascii="仿宋" w:eastAsia="仿宋" w:hAnsi="仿宋" w:hint="eastAsia"/>
          <w:sz w:val="32"/>
          <w:szCs w:val="32"/>
        </w:rPr>
        <w:t>按相关文件要求，区国资委已向各企业下达了2019年西城区国有资本经营预算批复，并将在2019年做好预算管理系列工作。</w:t>
      </w:r>
    </w:p>
    <w:p w:rsidR="00172D88" w:rsidRDefault="00172D88">
      <w:pPr>
        <w:rPr>
          <w:rFonts w:ascii="Times New Roman" w:eastAsia="仿宋_GB2312" w:hAnsi="Times New Roman" w:cs="Times New Roman"/>
          <w:sz w:val="32"/>
          <w:szCs w:val="32"/>
        </w:rPr>
      </w:pPr>
    </w:p>
    <w:p w:rsidR="00172D88" w:rsidRDefault="00172D88">
      <w:pPr>
        <w:rPr>
          <w:rFonts w:ascii="Times New Roman" w:eastAsia="仿宋_GB2312" w:hAnsi="Times New Roman" w:cs="Times New Roman"/>
          <w:sz w:val="32"/>
          <w:szCs w:val="32"/>
        </w:rPr>
      </w:pPr>
    </w:p>
    <w:p w:rsidR="00172D88" w:rsidRDefault="00172D88">
      <w:pPr>
        <w:rPr>
          <w:rFonts w:ascii="Times New Roman" w:eastAsia="仿宋_GB2312" w:hAnsi="Times New Roman" w:cs="Times New Roman"/>
          <w:sz w:val="32"/>
          <w:szCs w:val="32"/>
        </w:rPr>
      </w:pPr>
    </w:p>
    <w:p w:rsidR="00172D88" w:rsidRDefault="00172D88">
      <w:pPr>
        <w:tabs>
          <w:tab w:val="left" w:pos="1680"/>
        </w:tabs>
        <w:spacing w:line="580" w:lineRule="exact"/>
        <w:rPr>
          <w:rFonts w:ascii="仿宋_GB2312" w:eastAsia="仿宋_GB2312" w:hAnsi="Times New Roman" w:cs="Times New Roman"/>
          <w:sz w:val="32"/>
          <w:szCs w:val="24"/>
        </w:rPr>
      </w:pPr>
    </w:p>
    <w:p w:rsidR="00172D88" w:rsidRDefault="00172D88">
      <w:pPr>
        <w:rPr>
          <w:rFonts w:ascii="黑体" w:eastAsia="黑体" w:hAnsi="Times New Roman" w:cs="Times New Roman"/>
          <w:sz w:val="32"/>
          <w:szCs w:val="24"/>
        </w:rPr>
      </w:pPr>
    </w:p>
    <w:p w:rsidR="00172D88" w:rsidRDefault="00172D88">
      <w:pPr>
        <w:rPr>
          <w:rFonts w:ascii="黑体" w:eastAsia="黑体" w:hAnsi="Times New Roman" w:cs="Times New Roman"/>
          <w:sz w:val="32"/>
          <w:szCs w:val="24"/>
        </w:rPr>
      </w:pPr>
    </w:p>
    <w:p w:rsidR="00172D88" w:rsidRDefault="00172D88">
      <w:pPr>
        <w:rPr>
          <w:rFonts w:ascii="Times New Roman" w:eastAsia="宋体" w:hAnsi="Times New Roman" w:cs="Times New Roman" w:hint="eastAsia"/>
          <w:szCs w:val="24"/>
        </w:rPr>
      </w:pPr>
    </w:p>
    <w:p w:rsidR="00F755CC" w:rsidRDefault="00F755CC">
      <w:pPr>
        <w:rPr>
          <w:rFonts w:ascii="Times New Roman" w:eastAsia="宋体" w:hAnsi="Times New Roman" w:cs="Times New Roman" w:hint="eastAsia"/>
          <w:szCs w:val="24"/>
        </w:rPr>
      </w:pPr>
    </w:p>
    <w:p w:rsidR="00F755CC" w:rsidRPr="00F755CC" w:rsidRDefault="00F755CC">
      <w:pPr>
        <w:rPr>
          <w:rFonts w:ascii="Times New Roman" w:eastAsia="宋体" w:hAnsi="Times New Roman" w:cs="Times New Roman"/>
          <w:szCs w:val="24"/>
        </w:rPr>
      </w:pPr>
      <w:bookmarkStart w:id="0" w:name="_GoBack"/>
      <w:bookmarkEnd w:id="0"/>
    </w:p>
    <w:p w:rsidR="00172D88" w:rsidRDefault="00172D88">
      <w:pPr>
        <w:jc w:val="left"/>
        <w:rPr>
          <w:rFonts w:ascii="楷体_GB2312" w:eastAsia="楷体_GB2312" w:hAnsi="宋体" w:cs="宋体"/>
          <w:bCs/>
          <w:kern w:val="0"/>
          <w:sz w:val="32"/>
          <w:szCs w:val="32"/>
        </w:rPr>
      </w:pPr>
    </w:p>
    <w:p w:rsidR="00172D88" w:rsidRDefault="00DB4090">
      <w:pPr>
        <w:jc w:val="left"/>
        <w:rPr>
          <w:rFonts w:ascii="楷体_GB2312" w:eastAsia="楷体_GB2312" w:hAnsi="宋体" w:cs="宋体"/>
          <w:bCs/>
          <w:kern w:val="0"/>
          <w:sz w:val="32"/>
          <w:szCs w:val="32"/>
        </w:rPr>
      </w:pPr>
      <w:r>
        <w:rPr>
          <w:rFonts w:ascii="楷体_GB2312" w:eastAsia="楷体_GB2312" w:hAnsi="宋体" w:cs="宋体" w:hint="eastAsia"/>
          <w:bCs/>
          <w:kern w:val="0"/>
          <w:sz w:val="32"/>
          <w:szCs w:val="32"/>
        </w:rPr>
        <w:lastRenderedPageBreak/>
        <w:t>附件1：</w:t>
      </w:r>
    </w:p>
    <w:p w:rsidR="00172D88" w:rsidRDefault="00DB4090">
      <w:pPr>
        <w:jc w:val="center"/>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2019年国有资本经营预算收支总表</w:t>
      </w:r>
    </w:p>
    <w:p w:rsidR="00172D88" w:rsidRDefault="00DB4090">
      <w:pPr>
        <w:widowControl/>
        <w:jc w:val="right"/>
        <w:rPr>
          <w:rFonts w:ascii="宋体" w:eastAsia="宋体" w:hAnsi="宋体" w:cs="宋体"/>
          <w:color w:val="000000"/>
          <w:kern w:val="0"/>
          <w:sz w:val="22"/>
        </w:rPr>
      </w:pPr>
      <w:r>
        <w:rPr>
          <w:rFonts w:ascii="黑体" w:eastAsia="黑体" w:hAnsi="Batang" w:cs="Times New Roman" w:hint="eastAsia"/>
          <w:sz w:val="36"/>
          <w:szCs w:val="36"/>
        </w:rPr>
        <w:t xml:space="preserve">                    </w:t>
      </w:r>
      <w:r>
        <w:rPr>
          <w:rFonts w:ascii="宋体" w:eastAsia="宋体" w:hAnsi="宋体" w:cs="宋体" w:hint="eastAsia"/>
          <w:color w:val="000000"/>
          <w:kern w:val="0"/>
          <w:sz w:val="22"/>
        </w:rPr>
        <w:t>单位：万元</w:t>
      </w:r>
    </w:p>
    <w:tbl>
      <w:tblPr>
        <w:tblW w:w="8804" w:type="dxa"/>
        <w:tblInd w:w="93" w:type="dxa"/>
        <w:tblLayout w:type="fixed"/>
        <w:tblLook w:val="04A0" w:firstRow="1" w:lastRow="0" w:firstColumn="1" w:lastColumn="0" w:noHBand="0" w:noVBand="1"/>
      </w:tblPr>
      <w:tblGrid>
        <w:gridCol w:w="2567"/>
        <w:gridCol w:w="1473"/>
        <w:gridCol w:w="3488"/>
        <w:gridCol w:w="1276"/>
      </w:tblGrid>
      <w:tr w:rsidR="00172D88">
        <w:trPr>
          <w:trHeight w:val="567"/>
        </w:trPr>
        <w:tc>
          <w:tcPr>
            <w:tcW w:w="4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收入部分</w:t>
            </w:r>
          </w:p>
        </w:tc>
        <w:tc>
          <w:tcPr>
            <w:tcW w:w="4764" w:type="dxa"/>
            <w:gridSpan w:val="2"/>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支出部分</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项        目</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收入金额</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项        目</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支出金额</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国有资本经营预算收入</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19784</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国有资本经营预算支出</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13525</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利润收入</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19784</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解决历史遗留问题及改革成本支出</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2050</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国有企业改革成本支出</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2050</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国有企业资本金注入</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11475</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国有经济结构调整支出</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11475</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本年收入合计</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19784</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本年支出合计</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13525</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动用上年结余</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406</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国有资本经营预算调出资金</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5654</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kern w:val="0"/>
                <w:sz w:val="20"/>
                <w:szCs w:val="20"/>
              </w:rPr>
            </w:pPr>
            <w:r>
              <w:rPr>
                <w:rFonts w:ascii="宋体" w:eastAsia="宋体" w:hAnsi="宋体" w:cs="宋体" w:hint="eastAsia"/>
                <w:kern w:val="0"/>
                <w:sz w:val="20"/>
                <w:szCs w:val="20"/>
              </w:rPr>
              <w:t>本年结余</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1011</w:t>
            </w:r>
          </w:p>
        </w:tc>
      </w:tr>
      <w:tr w:rsidR="00172D88">
        <w:trPr>
          <w:trHeight w:val="567"/>
        </w:trPr>
        <w:tc>
          <w:tcPr>
            <w:tcW w:w="2567" w:type="dxa"/>
            <w:tcBorders>
              <w:top w:val="nil"/>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收 入 总 计</w:t>
            </w:r>
          </w:p>
        </w:tc>
        <w:tc>
          <w:tcPr>
            <w:tcW w:w="1473"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20190</w:t>
            </w:r>
          </w:p>
        </w:tc>
        <w:tc>
          <w:tcPr>
            <w:tcW w:w="3488" w:type="dxa"/>
            <w:tcBorders>
              <w:top w:val="nil"/>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支出总计</w:t>
            </w:r>
          </w:p>
        </w:tc>
        <w:tc>
          <w:tcPr>
            <w:tcW w:w="1276" w:type="dxa"/>
            <w:tcBorders>
              <w:top w:val="nil"/>
              <w:left w:val="nil"/>
              <w:bottom w:val="single" w:sz="4" w:space="0" w:color="auto"/>
              <w:right w:val="single" w:sz="4" w:space="0" w:color="auto"/>
            </w:tcBorders>
            <w:shd w:val="clear" w:color="auto" w:fill="auto"/>
            <w:vAlign w:val="center"/>
          </w:tcPr>
          <w:p w:rsidR="00172D88" w:rsidRDefault="00DB4090">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20190</w:t>
            </w:r>
          </w:p>
        </w:tc>
      </w:tr>
    </w:tbl>
    <w:p w:rsidR="00172D88" w:rsidRDefault="00172D88">
      <w:pPr>
        <w:rPr>
          <w:rFonts w:ascii="黑体" w:eastAsia="黑体" w:hAnsi="Batang" w:cs="Times New Roman"/>
          <w:sz w:val="36"/>
          <w:szCs w:val="36"/>
        </w:rPr>
      </w:pPr>
    </w:p>
    <w:tbl>
      <w:tblPr>
        <w:tblW w:w="8522" w:type="dxa"/>
        <w:tblLayout w:type="fixed"/>
        <w:tblLook w:val="04A0" w:firstRow="1" w:lastRow="0" w:firstColumn="1" w:lastColumn="0" w:noHBand="0" w:noVBand="1"/>
      </w:tblPr>
      <w:tblGrid>
        <w:gridCol w:w="5200"/>
        <w:gridCol w:w="3322"/>
      </w:tblGrid>
      <w:tr w:rsidR="00172D88">
        <w:trPr>
          <w:trHeight w:val="312"/>
        </w:trPr>
        <w:tc>
          <w:tcPr>
            <w:tcW w:w="8522" w:type="dxa"/>
            <w:gridSpan w:val="2"/>
            <w:vMerge w:val="restart"/>
            <w:shd w:val="clear" w:color="auto" w:fill="auto"/>
            <w:vAlign w:val="center"/>
          </w:tcPr>
          <w:p w:rsidR="00172D88" w:rsidRDefault="00172D88">
            <w:pPr>
              <w:jc w:val="left"/>
              <w:rPr>
                <w:rFonts w:ascii="楷体_GB2312" w:eastAsia="楷体_GB2312" w:hAnsi="宋体" w:cs="宋体"/>
                <w:bCs/>
                <w:kern w:val="0"/>
                <w:sz w:val="32"/>
                <w:szCs w:val="32"/>
              </w:rPr>
            </w:pPr>
          </w:p>
          <w:p w:rsidR="00172D88" w:rsidRDefault="00DB4090">
            <w:pPr>
              <w:jc w:val="left"/>
              <w:rPr>
                <w:rFonts w:ascii="楷体_GB2312" w:eastAsia="楷体_GB2312" w:hAnsi="宋体" w:cs="宋体"/>
                <w:bCs/>
                <w:kern w:val="0"/>
                <w:sz w:val="32"/>
                <w:szCs w:val="32"/>
              </w:rPr>
            </w:pPr>
            <w:r>
              <w:rPr>
                <w:rFonts w:ascii="楷体_GB2312" w:eastAsia="楷体_GB2312" w:hAnsi="宋体" w:cs="宋体" w:hint="eastAsia"/>
                <w:bCs/>
                <w:kern w:val="0"/>
                <w:sz w:val="32"/>
                <w:szCs w:val="32"/>
              </w:rPr>
              <w:t>附件2：</w:t>
            </w:r>
          </w:p>
          <w:p w:rsidR="00172D88" w:rsidRDefault="00DB4090">
            <w:pPr>
              <w:jc w:val="center"/>
              <w:rPr>
                <w:rFonts w:ascii="宋体" w:eastAsia="宋体" w:hAnsi="宋体" w:cs="宋体"/>
                <w:b/>
                <w:bCs/>
                <w:color w:val="000000"/>
                <w:kern w:val="0"/>
                <w:sz w:val="24"/>
                <w:szCs w:val="24"/>
              </w:rPr>
            </w:pPr>
            <w:r>
              <w:rPr>
                <w:rFonts w:ascii="楷体_GB2312" w:eastAsia="楷体_GB2312" w:hAnsi="宋体" w:cs="宋体" w:hint="eastAsia"/>
                <w:b/>
                <w:bCs/>
                <w:kern w:val="0"/>
                <w:sz w:val="36"/>
                <w:szCs w:val="36"/>
              </w:rPr>
              <w:t>2019年国有资本经营预算收入表</w:t>
            </w:r>
          </w:p>
        </w:tc>
      </w:tr>
      <w:tr w:rsidR="00172D88">
        <w:trPr>
          <w:trHeight w:val="840"/>
        </w:trPr>
        <w:tc>
          <w:tcPr>
            <w:tcW w:w="8522" w:type="dxa"/>
            <w:gridSpan w:val="2"/>
            <w:vMerge/>
            <w:vAlign w:val="center"/>
          </w:tcPr>
          <w:p w:rsidR="00172D88" w:rsidRDefault="00172D88">
            <w:pPr>
              <w:widowControl/>
              <w:jc w:val="left"/>
              <w:rPr>
                <w:rFonts w:ascii="宋体" w:eastAsia="宋体" w:hAnsi="宋体" w:cs="宋体"/>
                <w:b/>
                <w:bCs/>
                <w:color w:val="000000"/>
                <w:kern w:val="0"/>
                <w:sz w:val="24"/>
                <w:szCs w:val="24"/>
              </w:rPr>
            </w:pPr>
          </w:p>
        </w:tc>
      </w:tr>
      <w:tr w:rsidR="00172D88">
        <w:trPr>
          <w:trHeight w:val="255"/>
        </w:trPr>
        <w:tc>
          <w:tcPr>
            <w:tcW w:w="5200" w:type="dxa"/>
            <w:tcBorders>
              <w:bottom w:val="single" w:sz="4" w:space="0" w:color="auto"/>
            </w:tcBorders>
            <w:shd w:val="clear" w:color="auto" w:fill="auto"/>
            <w:vAlign w:val="bottom"/>
          </w:tcPr>
          <w:p w:rsidR="00172D88" w:rsidRDefault="00172D88">
            <w:pPr>
              <w:widowControl/>
              <w:jc w:val="left"/>
              <w:rPr>
                <w:rFonts w:ascii="宋体" w:eastAsia="宋体" w:hAnsi="宋体" w:cs="宋体"/>
                <w:color w:val="000000"/>
                <w:kern w:val="0"/>
                <w:sz w:val="20"/>
                <w:szCs w:val="20"/>
              </w:rPr>
            </w:pPr>
          </w:p>
        </w:tc>
        <w:tc>
          <w:tcPr>
            <w:tcW w:w="3322" w:type="dxa"/>
            <w:tcBorders>
              <w:bottom w:val="single" w:sz="4" w:space="0" w:color="auto"/>
            </w:tcBorders>
            <w:shd w:val="clear" w:color="auto" w:fill="auto"/>
            <w:vAlign w:val="bottom"/>
          </w:tcPr>
          <w:p w:rsidR="00172D88" w:rsidRDefault="00DB409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2"/>
              </w:rPr>
              <w:t>单位：元</w:t>
            </w:r>
          </w:p>
        </w:tc>
      </w:tr>
      <w:tr w:rsidR="00172D88">
        <w:trPr>
          <w:trHeight w:val="567"/>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科目名称／企业</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本年预算数</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widowControl/>
              <w:jc w:val="right"/>
              <w:rPr>
                <w:rFonts w:ascii="宋体" w:eastAsia="宋体" w:hAnsi="宋体" w:cs="宋体"/>
                <w:b/>
                <w:bCs/>
                <w:kern w:val="0"/>
                <w:sz w:val="22"/>
              </w:rPr>
            </w:pPr>
            <w:r>
              <w:rPr>
                <w:rFonts w:ascii="宋体" w:eastAsia="宋体" w:hAnsi="宋体" w:cs="宋体" w:hint="eastAsia"/>
                <w:b/>
                <w:bCs/>
                <w:kern w:val="0"/>
                <w:sz w:val="22"/>
              </w:rPr>
              <w:t xml:space="preserve">197,847,594.28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t>103060198</w:t>
            </w:r>
            <w:r>
              <w:rPr>
                <w:rFonts w:ascii="宋体" w:eastAsia="宋体" w:hAnsi="宋体" w:cs="宋体" w:hint="eastAsia"/>
                <w:b/>
                <w:bCs/>
                <w:color w:val="000000"/>
                <w:kern w:val="0"/>
                <w:sz w:val="22"/>
              </w:rPr>
              <w:t>其他国有资本经营预算企业利润收入</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widowControl/>
              <w:jc w:val="right"/>
              <w:rPr>
                <w:rFonts w:ascii="宋体" w:eastAsia="宋体" w:hAnsi="宋体" w:cs="宋体"/>
                <w:b/>
                <w:bCs/>
                <w:kern w:val="0"/>
                <w:sz w:val="22"/>
              </w:rPr>
            </w:pPr>
            <w:r>
              <w:rPr>
                <w:rFonts w:ascii="宋体" w:eastAsia="宋体" w:hAnsi="宋体" w:cs="宋体" w:hint="eastAsia"/>
                <w:b/>
                <w:bCs/>
                <w:kern w:val="0"/>
                <w:sz w:val="22"/>
              </w:rPr>
              <w:t xml:space="preserve">197,847,594.28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bCs/>
                <w:color w:val="000000"/>
                <w:kern w:val="0"/>
                <w:sz w:val="22"/>
              </w:rPr>
            </w:pPr>
            <w:r>
              <w:rPr>
                <w:rFonts w:ascii="宋体" w:eastAsia="宋体" w:hAnsi="宋体" w:cs="宋体" w:hint="eastAsia"/>
                <w:bCs/>
                <w:color w:val="000000"/>
                <w:kern w:val="0"/>
                <w:sz w:val="22"/>
              </w:rPr>
              <w:t>北京金融街投资(集团)有限公司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97,171,745.32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北京金融</w:t>
            </w:r>
            <w:proofErr w:type="gramStart"/>
            <w:r>
              <w:rPr>
                <w:rFonts w:ascii="宋体" w:eastAsia="宋体" w:hAnsi="宋体" w:cs="宋体" w:hint="eastAsia"/>
                <w:color w:val="000000"/>
                <w:kern w:val="0"/>
                <w:sz w:val="22"/>
              </w:rPr>
              <w:t>街资本</w:t>
            </w:r>
            <w:proofErr w:type="gramEnd"/>
            <w:r>
              <w:rPr>
                <w:rFonts w:ascii="宋体" w:eastAsia="宋体" w:hAnsi="宋体" w:cs="宋体" w:hint="eastAsia"/>
                <w:color w:val="000000"/>
                <w:kern w:val="0"/>
                <w:sz w:val="22"/>
              </w:rPr>
              <w:t>运营中心</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27,633,780.53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北京市华远集团有限公司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28,822,357.27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北京天恒置业集团有限公司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19,648,247.55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北京广安控股集团有限公司</w:t>
            </w:r>
          </w:p>
        </w:tc>
        <w:tc>
          <w:tcPr>
            <w:tcW w:w="3322" w:type="dxa"/>
            <w:tcBorders>
              <w:top w:val="nil"/>
              <w:left w:val="nil"/>
              <w:bottom w:val="single" w:sz="4" w:space="0" w:color="auto"/>
              <w:right w:val="single" w:sz="4" w:space="0" w:color="auto"/>
            </w:tcBorders>
            <w:shd w:val="clear" w:color="auto" w:fill="auto"/>
            <w:vAlign w:val="bottom"/>
          </w:tcPr>
          <w:p w:rsidR="00172D88" w:rsidRDefault="00172D88">
            <w:pPr>
              <w:rPr>
                <w:rFonts w:ascii="宋体" w:eastAsia="宋体" w:hAnsi="宋体" w:cs="宋体"/>
                <w:bCs/>
                <w:kern w:val="0"/>
                <w:sz w:val="22"/>
              </w:rPr>
            </w:pP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北京宣房投资管理集团有限公司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2,323,800.00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北京华方投资有限公司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3,184,200.00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北京华天饮食集团公司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17,010,604.00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北京市西城区国有资产经营公司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1,977,859.61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天桥盛世投资集团有限责任公司</w:t>
            </w:r>
          </w:p>
        </w:tc>
        <w:tc>
          <w:tcPr>
            <w:tcW w:w="3322" w:type="dxa"/>
            <w:tcBorders>
              <w:top w:val="nil"/>
              <w:left w:val="nil"/>
              <w:bottom w:val="single" w:sz="4" w:space="0" w:color="auto"/>
              <w:right w:val="single" w:sz="4" w:space="0" w:color="auto"/>
            </w:tcBorders>
            <w:shd w:val="clear" w:color="auto" w:fill="auto"/>
            <w:vAlign w:val="bottom"/>
          </w:tcPr>
          <w:p w:rsidR="00172D88" w:rsidRDefault="00172D88">
            <w:pPr>
              <w:rPr>
                <w:rFonts w:ascii="宋体" w:eastAsia="宋体" w:hAnsi="宋体" w:cs="宋体"/>
                <w:bCs/>
                <w:kern w:val="0"/>
                <w:sz w:val="22"/>
              </w:rPr>
            </w:pP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北京市金工投资管理公司</w:t>
            </w:r>
          </w:p>
        </w:tc>
        <w:tc>
          <w:tcPr>
            <w:tcW w:w="3322" w:type="dxa"/>
            <w:tcBorders>
              <w:top w:val="nil"/>
              <w:left w:val="nil"/>
              <w:bottom w:val="single" w:sz="4" w:space="0" w:color="auto"/>
              <w:right w:val="single" w:sz="4" w:space="0" w:color="auto"/>
            </w:tcBorders>
            <w:shd w:val="clear" w:color="auto" w:fill="auto"/>
            <w:vAlign w:val="bottom"/>
          </w:tcPr>
          <w:p w:rsidR="00172D88" w:rsidRDefault="00172D88">
            <w:pPr>
              <w:rPr>
                <w:rFonts w:ascii="宋体" w:eastAsia="宋体" w:hAnsi="宋体" w:cs="宋体"/>
                <w:bCs/>
                <w:kern w:val="0"/>
                <w:sz w:val="22"/>
              </w:rPr>
            </w:pP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DB409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北京德源兴业投资管理有限公司</w:t>
            </w:r>
          </w:p>
        </w:tc>
        <w:tc>
          <w:tcPr>
            <w:tcW w:w="3322" w:type="dxa"/>
            <w:tcBorders>
              <w:top w:val="nil"/>
              <w:left w:val="nil"/>
              <w:bottom w:val="single" w:sz="4" w:space="0" w:color="auto"/>
              <w:right w:val="single" w:sz="4" w:space="0" w:color="auto"/>
            </w:tcBorders>
            <w:shd w:val="clear" w:color="auto" w:fill="auto"/>
            <w:vAlign w:val="bottom"/>
          </w:tcPr>
          <w:p w:rsidR="00172D88" w:rsidRDefault="00DB4090">
            <w:pPr>
              <w:jc w:val="right"/>
              <w:rPr>
                <w:rFonts w:ascii="宋体" w:eastAsia="宋体" w:hAnsi="宋体" w:cs="宋体"/>
                <w:bCs/>
                <w:kern w:val="0"/>
                <w:sz w:val="22"/>
              </w:rPr>
            </w:pPr>
            <w:r>
              <w:rPr>
                <w:rFonts w:ascii="宋体" w:eastAsia="宋体" w:hAnsi="宋体" w:cs="宋体" w:hint="eastAsia"/>
                <w:bCs/>
                <w:kern w:val="0"/>
                <w:sz w:val="22"/>
              </w:rPr>
              <w:t xml:space="preserve">75,000.00 </w:t>
            </w:r>
          </w:p>
        </w:tc>
      </w:tr>
      <w:tr w:rsidR="00172D88">
        <w:trPr>
          <w:trHeight w:val="567"/>
        </w:trPr>
        <w:tc>
          <w:tcPr>
            <w:tcW w:w="5200" w:type="dxa"/>
            <w:tcBorders>
              <w:top w:val="nil"/>
              <w:left w:val="single" w:sz="4" w:space="0" w:color="auto"/>
              <w:bottom w:val="single" w:sz="4" w:space="0" w:color="auto"/>
              <w:right w:val="single" w:sz="4" w:space="0" w:color="auto"/>
            </w:tcBorders>
            <w:shd w:val="clear" w:color="auto" w:fill="auto"/>
            <w:vAlign w:val="bottom"/>
          </w:tcPr>
          <w:p w:rsidR="00172D88" w:rsidRDefault="00172D88">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vAlign w:val="bottom"/>
          </w:tcPr>
          <w:p w:rsidR="00172D88" w:rsidRDefault="00172D88">
            <w:pPr>
              <w:widowControl/>
              <w:jc w:val="right"/>
              <w:rPr>
                <w:rFonts w:ascii="宋体" w:eastAsia="宋体" w:hAnsi="宋体" w:cs="宋体"/>
                <w:kern w:val="0"/>
                <w:sz w:val="22"/>
              </w:rPr>
            </w:pPr>
          </w:p>
        </w:tc>
      </w:tr>
    </w:tbl>
    <w:p w:rsidR="00172D88" w:rsidRDefault="00172D88">
      <w:pPr>
        <w:rPr>
          <w:rFonts w:ascii="黑体" w:eastAsia="黑体" w:hAnsi="Batang" w:cs="Times New Roman"/>
          <w:sz w:val="36"/>
          <w:szCs w:val="36"/>
        </w:rPr>
      </w:pPr>
    </w:p>
    <w:p w:rsidR="00172D88" w:rsidRDefault="00172D88">
      <w:pPr>
        <w:widowControl/>
        <w:jc w:val="left"/>
        <w:rPr>
          <w:rFonts w:ascii="楷体_GB2312" w:eastAsia="楷体_GB2312" w:hAnsi="宋体" w:cs="宋体"/>
          <w:bCs/>
          <w:kern w:val="0"/>
          <w:sz w:val="32"/>
          <w:szCs w:val="32"/>
        </w:rPr>
        <w:sectPr w:rsidR="00172D8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type="linesAndChars" w:linePitch="312"/>
        </w:sectPr>
      </w:pPr>
    </w:p>
    <w:p w:rsidR="00172D88" w:rsidRDefault="00DB4090">
      <w:pPr>
        <w:widowControl/>
        <w:jc w:val="left"/>
        <w:rPr>
          <w:rFonts w:ascii="楷体_GB2312" w:eastAsia="楷体_GB2312" w:hAnsi="宋体" w:cs="宋体"/>
          <w:bCs/>
          <w:kern w:val="0"/>
          <w:sz w:val="32"/>
          <w:szCs w:val="32"/>
        </w:rPr>
      </w:pPr>
      <w:r>
        <w:rPr>
          <w:rFonts w:ascii="楷体_GB2312" w:eastAsia="楷体_GB2312" w:hAnsi="宋体" w:cs="宋体" w:hint="eastAsia"/>
          <w:bCs/>
          <w:kern w:val="0"/>
          <w:sz w:val="32"/>
          <w:szCs w:val="32"/>
        </w:rPr>
        <w:t>附件3：</w:t>
      </w:r>
    </w:p>
    <w:p w:rsidR="00172D88" w:rsidRDefault="00DB4090" w:rsidP="005919EC">
      <w:pPr>
        <w:ind w:firstLineChars="300" w:firstLine="1084"/>
        <w:jc w:val="center"/>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2019年国有资本经营预算支出明细表</w:t>
      </w:r>
    </w:p>
    <w:p w:rsidR="00172D88" w:rsidRDefault="00DB4090">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单位：元</w:t>
      </w:r>
    </w:p>
    <w:tbl>
      <w:tblPr>
        <w:tblW w:w="14900" w:type="dxa"/>
        <w:tblInd w:w="93" w:type="dxa"/>
        <w:tblLayout w:type="fixed"/>
        <w:tblLook w:val="04A0" w:firstRow="1" w:lastRow="0" w:firstColumn="1" w:lastColumn="0" w:noHBand="0" w:noVBand="1"/>
      </w:tblPr>
      <w:tblGrid>
        <w:gridCol w:w="2680"/>
        <w:gridCol w:w="3780"/>
        <w:gridCol w:w="1360"/>
        <w:gridCol w:w="1280"/>
        <w:gridCol w:w="1020"/>
        <w:gridCol w:w="1020"/>
        <w:gridCol w:w="1020"/>
        <w:gridCol w:w="1020"/>
        <w:gridCol w:w="1720"/>
      </w:tblGrid>
      <w:tr w:rsidR="00172D88">
        <w:trPr>
          <w:trHeight w:val="720"/>
        </w:trPr>
        <w:tc>
          <w:tcPr>
            <w:tcW w:w="2680" w:type="dxa"/>
            <w:tcBorders>
              <w:top w:val="single" w:sz="8" w:space="0" w:color="auto"/>
              <w:left w:val="single" w:sz="8" w:space="0" w:color="auto"/>
              <w:bottom w:val="nil"/>
              <w:right w:val="single" w:sz="8" w:space="0" w:color="auto"/>
            </w:tcBorders>
            <w:shd w:val="clear" w:color="auto" w:fill="auto"/>
            <w:vAlign w:val="center"/>
          </w:tcPr>
          <w:p w:rsidR="00172D88" w:rsidRDefault="00DB4090">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预算单位/企业名称</w:t>
            </w:r>
          </w:p>
        </w:tc>
        <w:tc>
          <w:tcPr>
            <w:tcW w:w="3780" w:type="dxa"/>
            <w:tcBorders>
              <w:top w:val="single" w:sz="8" w:space="0" w:color="auto"/>
              <w:left w:val="nil"/>
              <w:bottom w:val="nil"/>
              <w:right w:val="single" w:sz="8" w:space="0" w:color="auto"/>
            </w:tcBorders>
            <w:shd w:val="clear" w:color="auto" w:fill="auto"/>
            <w:vAlign w:val="center"/>
          </w:tcPr>
          <w:p w:rsidR="00172D88" w:rsidRDefault="00DB4090">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项目名称</w:t>
            </w:r>
          </w:p>
        </w:tc>
        <w:tc>
          <w:tcPr>
            <w:tcW w:w="1360" w:type="dxa"/>
            <w:tcBorders>
              <w:top w:val="single" w:sz="8" w:space="0" w:color="auto"/>
              <w:left w:val="nil"/>
              <w:bottom w:val="nil"/>
              <w:right w:val="single" w:sz="8"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功能科目编码</w:t>
            </w:r>
          </w:p>
        </w:tc>
        <w:tc>
          <w:tcPr>
            <w:tcW w:w="1280" w:type="dxa"/>
            <w:tcBorders>
              <w:top w:val="single" w:sz="8" w:space="0" w:color="auto"/>
              <w:left w:val="nil"/>
              <w:bottom w:val="nil"/>
              <w:right w:val="single" w:sz="8"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功能科目名称</w:t>
            </w:r>
          </w:p>
        </w:tc>
        <w:tc>
          <w:tcPr>
            <w:tcW w:w="1020" w:type="dxa"/>
            <w:tcBorders>
              <w:top w:val="single" w:sz="8" w:space="0" w:color="auto"/>
              <w:left w:val="nil"/>
              <w:bottom w:val="nil"/>
              <w:right w:val="single" w:sz="8"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部门经济分类</w:t>
            </w:r>
          </w:p>
        </w:tc>
        <w:tc>
          <w:tcPr>
            <w:tcW w:w="1020" w:type="dxa"/>
            <w:tcBorders>
              <w:top w:val="single" w:sz="8" w:space="0" w:color="auto"/>
              <w:left w:val="nil"/>
              <w:bottom w:val="nil"/>
              <w:right w:val="single" w:sz="8" w:space="0" w:color="auto"/>
            </w:tcBorders>
            <w:shd w:val="clear" w:color="auto" w:fill="auto"/>
            <w:vAlign w:val="center"/>
          </w:tcPr>
          <w:p w:rsidR="00172D88" w:rsidRDefault="00DB4090">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部门经济分类名称</w:t>
            </w:r>
          </w:p>
        </w:tc>
        <w:tc>
          <w:tcPr>
            <w:tcW w:w="1020" w:type="dxa"/>
            <w:tcBorders>
              <w:top w:val="single" w:sz="8" w:space="0" w:color="auto"/>
              <w:left w:val="nil"/>
              <w:bottom w:val="nil"/>
              <w:right w:val="single" w:sz="8" w:space="0" w:color="auto"/>
            </w:tcBorders>
            <w:shd w:val="clear" w:color="auto" w:fill="auto"/>
            <w:vAlign w:val="center"/>
          </w:tcPr>
          <w:p w:rsidR="00172D88" w:rsidRDefault="00DB4090">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政府经济分类</w:t>
            </w:r>
          </w:p>
        </w:tc>
        <w:tc>
          <w:tcPr>
            <w:tcW w:w="1020" w:type="dxa"/>
            <w:tcBorders>
              <w:top w:val="single" w:sz="8" w:space="0" w:color="auto"/>
              <w:left w:val="nil"/>
              <w:bottom w:val="nil"/>
              <w:right w:val="single" w:sz="8"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政府经济分类名称</w:t>
            </w:r>
          </w:p>
        </w:tc>
        <w:tc>
          <w:tcPr>
            <w:tcW w:w="1720" w:type="dxa"/>
            <w:tcBorders>
              <w:top w:val="single" w:sz="8" w:space="0" w:color="auto"/>
              <w:left w:val="nil"/>
              <w:bottom w:val="nil"/>
              <w:right w:val="single" w:sz="8" w:space="0" w:color="auto"/>
            </w:tcBorders>
            <w:shd w:val="clear" w:color="auto" w:fill="auto"/>
            <w:vAlign w:val="center"/>
          </w:tcPr>
          <w:p w:rsidR="00172D88" w:rsidRDefault="00DB4090">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预算资金</w:t>
            </w:r>
          </w:p>
        </w:tc>
      </w:tr>
      <w:tr w:rsidR="00172D88">
        <w:trPr>
          <w:trHeight w:val="72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北京市西城区人民政府国有资产监督管理委员会</w:t>
            </w:r>
          </w:p>
        </w:tc>
        <w:tc>
          <w:tcPr>
            <w:tcW w:w="378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vAlign w:val="center"/>
          </w:tcPr>
          <w:p w:rsidR="00172D88" w:rsidRDefault="00DB4090">
            <w:pPr>
              <w:widowControl/>
              <w:jc w:val="lef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135,250,000.00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北京金融街投资(集团)有限公司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华融公司对物业公司增资项目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40,000,000.00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北京金融街投资(集团)有限公司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金融</w:t>
            </w:r>
            <w:proofErr w:type="gramStart"/>
            <w:r>
              <w:rPr>
                <w:rFonts w:ascii="宋体" w:eastAsia="宋体" w:hAnsi="宋体" w:cs="Arial" w:hint="eastAsia"/>
                <w:color w:val="000000"/>
                <w:kern w:val="0"/>
                <w:sz w:val="18"/>
                <w:szCs w:val="18"/>
              </w:rPr>
              <w:t>街教育</w:t>
            </w:r>
            <w:proofErr w:type="gramEnd"/>
            <w:r>
              <w:rPr>
                <w:rFonts w:ascii="宋体" w:eastAsia="宋体" w:hAnsi="宋体" w:cs="Arial" w:hint="eastAsia"/>
                <w:color w:val="000000"/>
                <w:kern w:val="0"/>
                <w:sz w:val="18"/>
                <w:szCs w:val="18"/>
              </w:rPr>
              <w:t>公司投资项目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20,000,000.00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北京金融街投资(集团)有限公司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金融街文化生活空间项目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2,500,000.00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北京金融</w:t>
            </w:r>
            <w:proofErr w:type="gramStart"/>
            <w:r>
              <w:rPr>
                <w:rFonts w:ascii="宋体" w:eastAsia="宋体" w:hAnsi="宋体" w:cs="Arial" w:hint="eastAsia"/>
                <w:color w:val="000000"/>
                <w:kern w:val="0"/>
                <w:sz w:val="18"/>
                <w:szCs w:val="18"/>
              </w:rPr>
              <w:t>街资本</w:t>
            </w:r>
            <w:proofErr w:type="gramEnd"/>
            <w:r>
              <w:rPr>
                <w:rFonts w:ascii="宋体" w:eastAsia="宋体" w:hAnsi="宋体" w:cs="Arial" w:hint="eastAsia"/>
                <w:color w:val="000000"/>
                <w:kern w:val="0"/>
                <w:sz w:val="18"/>
                <w:szCs w:val="18"/>
              </w:rPr>
              <w:t>运营中心</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投资设立北京国际邮</w:t>
            </w:r>
            <w:proofErr w:type="gramStart"/>
            <w:r>
              <w:rPr>
                <w:rFonts w:ascii="宋体" w:eastAsia="宋体" w:hAnsi="宋体" w:cs="Arial" w:hint="eastAsia"/>
                <w:color w:val="000000"/>
                <w:kern w:val="0"/>
                <w:sz w:val="18"/>
                <w:szCs w:val="18"/>
              </w:rPr>
              <w:t>币交易</w:t>
            </w:r>
            <w:proofErr w:type="gramEnd"/>
            <w:r>
              <w:rPr>
                <w:rFonts w:ascii="宋体" w:eastAsia="宋体" w:hAnsi="宋体" w:cs="Arial" w:hint="eastAsia"/>
                <w:color w:val="000000"/>
                <w:kern w:val="0"/>
                <w:sz w:val="18"/>
                <w:szCs w:val="18"/>
              </w:rPr>
              <w:t>中心项目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25,000,000.00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北京金融</w:t>
            </w:r>
            <w:proofErr w:type="gramStart"/>
            <w:r>
              <w:rPr>
                <w:rFonts w:ascii="宋体" w:eastAsia="宋体" w:hAnsi="宋体" w:cs="Arial" w:hint="eastAsia"/>
                <w:color w:val="000000"/>
                <w:kern w:val="0"/>
                <w:sz w:val="18"/>
                <w:szCs w:val="18"/>
              </w:rPr>
              <w:t>街资本</w:t>
            </w:r>
            <w:proofErr w:type="gramEnd"/>
            <w:r>
              <w:rPr>
                <w:rFonts w:ascii="宋体" w:eastAsia="宋体" w:hAnsi="宋体" w:cs="Arial" w:hint="eastAsia"/>
                <w:color w:val="000000"/>
                <w:kern w:val="0"/>
                <w:sz w:val="18"/>
                <w:szCs w:val="18"/>
              </w:rPr>
              <w:t>运营中心</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解决</w:t>
            </w:r>
            <w:proofErr w:type="gramStart"/>
            <w:r>
              <w:rPr>
                <w:rFonts w:ascii="宋体" w:eastAsia="宋体" w:hAnsi="宋体" w:cs="Arial" w:hint="eastAsia"/>
                <w:color w:val="000000"/>
                <w:kern w:val="0"/>
                <w:sz w:val="18"/>
                <w:szCs w:val="18"/>
              </w:rPr>
              <w:t>昊</w:t>
            </w:r>
            <w:proofErr w:type="gramEnd"/>
            <w:r>
              <w:rPr>
                <w:rFonts w:ascii="宋体" w:eastAsia="宋体" w:hAnsi="宋体" w:cs="Arial" w:hint="eastAsia"/>
                <w:color w:val="000000"/>
                <w:kern w:val="0"/>
                <w:sz w:val="18"/>
                <w:szCs w:val="18"/>
              </w:rPr>
              <w:t>都公司历史遗留问题及宣兴公司电梯维修款项目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2230107</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国有企业改革成本支出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380,000.00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北京市华远集团有限公司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构建“高精尖”科技产业拓展项目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10,000,000.00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北京天恒置业集团有限公司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北京天恒新科技管理有限公司增资</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5,000,000.00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北京宣房投资管理集团有限公司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解决退休职工历史遗留问题</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2230107</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国有企业改革成本支出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3,100,000.00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北京华方投资有限公司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追加西单西南角拆迁人员安置资金</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2230107</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国有企业改革成本支出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1,160,000.00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北京华方投资有限公司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构建立体停车设备</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北京华方投资有限公司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非遗文化保护传承项目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8,000,000.00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北京华天饮食集团公司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西单菜市场历史遗留问题项目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2230107</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国有企业改革成本支出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5,280,000.00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北京市金工投资管理公司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解决所属企业管理费用资金缺口历史遗留问题解决所属企业管理费用资金缺口历史遗留问题</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2230107</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国有企业改革成本支出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8,780,000.00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北京市金工投资管理公司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解决所属企业宿舍区锅炉油</w:t>
            </w:r>
            <w:proofErr w:type="gramStart"/>
            <w:r>
              <w:rPr>
                <w:rFonts w:ascii="宋体" w:eastAsia="宋体" w:hAnsi="宋体" w:cs="Arial" w:hint="eastAsia"/>
                <w:color w:val="000000"/>
                <w:kern w:val="0"/>
                <w:sz w:val="18"/>
                <w:szCs w:val="18"/>
              </w:rPr>
              <w:t>改电项目</w:t>
            </w:r>
            <w:proofErr w:type="gramEnd"/>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2230107</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国有企业改革成本支出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1,800,000.00</w:t>
            </w:r>
          </w:p>
        </w:tc>
      </w:tr>
      <w:tr w:rsidR="00172D88">
        <w:trPr>
          <w:trHeight w:val="600"/>
        </w:trPr>
        <w:tc>
          <w:tcPr>
            <w:tcW w:w="2680" w:type="dxa"/>
            <w:tcBorders>
              <w:top w:val="nil"/>
              <w:left w:val="single" w:sz="4" w:space="0" w:color="000000"/>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北京天桥盛世投资集团有限责任公司</w:t>
            </w:r>
          </w:p>
        </w:tc>
        <w:tc>
          <w:tcPr>
            <w:tcW w:w="37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首都电影院金融街店升级改造项目</w:t>
            </w:r>
          </w:p>
        </w:tc>
        <w:tc>
          <w:tcPr>
            <w:tcW w:w="136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2230201</w:t>
            </w:r>
          </w:p>
        </w:tc>
        <w:tc>
          <w:tcPr>
            <w:tcW w:w="128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国有经济结构调整支出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59999</w:t>
            </w:r>
          </w:p>
        </w:tc>
        <w:tc>
          <w:tcPr>
            <w:tcW w:w="1020" w:type="dxa"/>
            <w:tcBorders>
              <w:top w:val="nil"/>
              <w:left w:val="nil"/>
              <w:bottom w:val="single" w:sz="4" w:space="0" w:color="000000"/>
              <w:right w:val="single" w:sz="4" w:space="0" w:color="000000"/>
            </w:tcBorders>
            <w:shd w:val="clear" w:color="auto" w:fill="auto"/>
            <w:vAlign w:val="center"/>
          </w:tcPr>
          <w:p w:rsidR="00172D88" w:rsidRDefault="00DB409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其他支出</w:t>
            </w:r>
          </w:p>
        </w:tc>
        <w:tc>
          <w:tcPr>
            <w:tcW w:w="1720" w:type="dxa"/>
            <w:tcBorders>
              <w:top w:val="nil"/>
              <w:left w:val="nil"/>
              <w:bottom w:val="single" w:sz="4" w:space="0" w:color="000000"/>
              <w:right w:val="single" w:sz="4" w:space="0" w:color="000000"/>
            </w:tcBorders>
            <w:shd w:val="clear" w:color="auto" w:fill="auto"/>
            <w:vAlign w:val="center"/>
          </w:tcPr>
          <w:p w:rsidR="00172D88" w:rsidRDefault="00DB409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3,250,000.00</w:t>
            </w:r>
          </w:p>
        </w:tc>
      </w:tr>
    </w:tbl>
    <w:p w:rsidR="00172D88" w:rsidRDefault="00172D88">
      <w:pPr>
        <w:rPr>
          <w:rFonts w:ascii="黑体" w:eastAsia="黑体" w:hAnsi="Batang" w:cs="Times New Roman"/>
          <w:sz w:val="36"/>
          <w:szCs w:val="36"/>
        </w:rPr>
        <w:sectPr w:rsidR="00172D88">
          <w:pgSz w:w="16838" w:h="11906" w:orient="landscape"/>
          <w:pgMar w:top="1797" w:right="1440" w:bottom="1797" w:left="1440" w:header="851" w:footer="992" w:gutter="0"/>
          <w:cols w:space="425"/>
          <w:docGrid w:type="linesAndChars" w:linePitch="312"/>
        </w:sectPr>
      </w:pPr>
    </w:p>
    <w:p w:rsidR="00172D88" w:rsidRDefault="00172D88">
      <w:pPr>
        <w:rPr>
          <w:rFonts w:ascii="黑体" w:eastAsia="黑体" w:hAnsi="Times New Roman" w:cs="Times New Roman"/>
          <w:sz w:val="32"/>
          <w:szCs w:val="24"/>
        </w:rPr>
      </w:pPr>
    </w:p>
    <w:sectPr w:rsidR="00172D8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E6" w:rsidRDefault="009C18E6">
      <w:r>
        <w:separator/>
      </w:r>
    </w:p>
  </w:endnote>
  <w:endnote w:type="continuationSeparator" w:id="0">
    <w:p w:rsidR="009C18E6" w:rsidRDefault="009C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88" w:rsidRDefault="00DB4090">
    <w:pPr>
      <w:pStyle w:val="a7"/>
      <w:ind w:firstLineChars="100" w:firstLine="280"/>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ascii="仿宋_GB2312" w:eastAsia="仿宋_GB2312" w:hint="eastAsia"/>
        <w:sz w:val="28"/>
        <w:szCs w:val="28"/>
      </w:rPr>
      <w:fldChar w:fldCharType="end"/>
    </w:r>
  </w:p>
  <w:p w:rsidR="00172D88" w:rsidRDefault="00172D88">
    <w:pPr>
      <w:pStyle w:val="a7"/>
    </w:pPr>
  </w:p>
  <w:p w:rsidR="00172D88" w:rsidRDefault="00172D88"/>
  <w:p w:rsidR="00172D88" w:rsidRDefault="00172D88"/>
  <w:p w:rsidR="00172D88" w:rsidRDefault="00172D88"/>
  <w:p w:rsidR="00172D88" w:rsidRDefault="00172D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88" w:rsidRPr="005919EC" w:rsidRDefault="00172D88" w:rsidP="005919EC">
    <w:pPr>
      <w:pStyle w:val="a7"/>
      <w:ind w:right="440"/>
      <w:jc w:val="right"/>
      <w:rPr>
        <w:rFonts w:ascii="仿宋_GB2312" w:eastAsia="仿宋_GB2312"/>
        <w:sz w:val="28"/>
        <w:szCs w:val="28"/>
      </w:rPr>
    </w:pPr>
  </w:p>
  <w:p w:rsidR="00172D88" w:rsidRDefault="00172D88"/>
  <w:p w:rsidR="00172D88" w:rsidRDefault="00172D88"/>
  <w:p w:rsidR="00172D88" w:rsidRDefault="00172D88"/>
  <w:p w:rsidR="00172D88" w:rsidRDefault="00172D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EC" w:rsidRDefault="005919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E6" w:rsidRDefault="009C18E6">
      <w:r>
        <w:separator/>
      </w:r>
    </w:p>
  </w:footnote>
  <w:footnote w:type="continuationSeparator" w:id="0">
    <w:p w:rsidR="009C18E6" w:rsidRDefault="009C1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EC" w:rsidRDefault="005919E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EC" w:rsidRDefault="005919E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EC" w:rsidRDefault="005919E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D5"/>
    <w:rsid w:val="00015A3A"/>
    <w:rsid w:val="000C7355"/>
    <w:rsid w:val="001237DA"/>
    <w:rsid w:val="00172D88"/>
    <w:rsid w:val="001A7963"/>
    <w:rsid w:val="001D5516"/>
    <w:rsid w:val="0027219E"/>
    <w:rsid w:val="002A375A"/>
    <w:rsid w:val="00396700"/>
    <w:rsid w:val="003D4086"/>
    <w:rsid w:val="003D7FD6"/>
    <w:rsid w:val="003E44C3"/>
    <w:rsid w:val="004710CE"/>
    <w:rsid w:val="004A0C05"/>
    <w:rsid w:val="004F0BD5"/>
    <w:rsid w:val="00513A19"/>
    <w:rsid w:val="005919EC"/>
    <w:rsid w:val="006C1DD6"/>
    <w:rsid w:val="006F54CA"/>
    <w:rsid w:val="00711B25"/>
    <w:rsid w:val="007B7907"/>
    <w:rsid w:val="008718A2"/>
    <w:rsid w:val="00971ED5"/>
    <w:rsid w:val="0098581F"/>
    <w:rsid w:val="009C18E6"/>
    <w:rsid w:val="00A12A42"/>
    <w:rsid w:val="00A35030"/>
    <w:rsid w:val="00B56171"/>
    <w:rsid w:val="00BD121A"/>
    <w:rsid w:val="00BD7787"/>
    <w:rsid w:val="00C2373B"/>
    <w:rsid w:val="00C27B2B"/>
    <w:rsid w:val="00C51236"/>
    <w:rsid w:val="00C751D5"/>
    <w:rsid w:val="00DB4090"/>
    <w:rsid w:val="00DE1BA0"/>
    <w:rsid w:val="00E34837"/>
    <w:rsid w:val="00EC2F6C"/>
    <w:rsid w:val="00F64106"/>
    <w:rsid w:val="00F647D6"/>
    <w:rsid w:val="00F755CC"/>
    <w:rsid w:val="00FA0790"/>
    <w:rsid w:val="00FA2092"/>
    <w:rsid w:val="0F8B335E"/>
    <w:rsid w:val="37356444"/>
    <w:rsid w:val="59D61BA7"/>
    <w:rsid w:val="5AD94B67"/>
    <w:rsid w:val="799E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rPr>
      <w:rFonts w:ascii="Times New Roman" w:eastAsia="宋体" w:hAnsi="Times New Roman" w:cs="Times New Roman"/>
      <w:szCs w:val="24"/>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rPr>
      <w:rFonts w:ascii="Times New Roman" w:eastAsia="宋体" w:hAnsi="Times New Roman" w:cs="Times New Roman"/>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9">
    <w:name w:val="FollowedHyperlink"/>
    <w:uiPriority w:val="99"/>
    <w:semiHidden/>
    <w:unhideWhenUsed/>
    <w:rPr>
      <w:color w:val="800080"/>
      <w:u w:val="single"/>
    </w:rPr>
  </w:style>
  <w:style w:type="character" w:styleId="aa">
    <w:name w:val="Hyperlink"/>
    <w:uiPriority w:val="99"/>
    <w:semiHidden/>
    <w:unhideWhenUsed/>
    <w:rPr>
      <w:color w:val="0000FF"/>
      <w:u w:val="single"/>
    </w:rPr>
  </w:style>
  <w:style w:type="character" w:styleId="ab">
    <w:name w:val="annotation reference"/>
    <w:uiPriority w:val="99"/>
    <w:semiHidden/>
    <w:unhideWhenUsed/>
    <w:rPr>
      <w:sz w:val="21"/>
      <w:szCs w:val="21"/>
    </w:rPr>
  </w:style>
  <w:style w:type="table" w:styleId="ac">
    <w:name w:val="Table Grid"/>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basedOn w:val="a0"/>
    <w:link w:val="a7"/>
    <w:uiPriority w:val="99"/>
    <w:rPr>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4">
    <w:name w:val="页眉 Char"/>
    <w:basedOn w:val="a0"/>
    <w:link w:val="a8"/>
    <w:uiPriority w:val="99"/>
    <w:rPr>
      <w:rFonts w:ascii="Times New Roman" w:eastAsia="宋体" w:hAnsi="Times New Roman" w:cs="Times New Roman"/>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table" w:customStyle="1" w:styleId="1">
    <w:name w:val="网格型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日期 Char"/>
    <w:basedOn w:val="a0"/>
    <w:link w:val="a5"/>
    <w:uiPriority w:val="99"/>
    <w:semiHidden/>
  </w:style>
  <w:style w:type="paragraph" w:customStyle="1" w:styleId="font5">
    <w:name w:val="font5"/>
    <w:basedOn w:val="a"/>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table" w:customStyle="1" w:styleId="2">
    <w:name w:val="网格型2"/>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rPr>
      <w:rFonts w:ascii="Times New Roman" w:eastAsia="宋体" w:hAnsi="Times New Roman" w:cs="Times New Roman"/>
      <w:szCs w:val="24"/>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rPr>
      <w:rFonts w:ascii="Times New Roman" w:eastAsia="宋体" w:hAnsi="Times New Roman" w:cs="Times New Roman"/>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9">
    <w:name w:val="FollowedHyperlink"/>
    <w:uiPriority w:val="99"/>
    <w:semiHidden/>
    <w:unhideWhenUsed/>
    <w:rPr>
      <w:color w:val="800080"/>
      <w:u w:val="single"/>
    </w:rPr>
  </w:style>
  <w:style w:type="character" w:styleId="aa">
    <w:name w:val="Hyperlink"/>
    <w:uiPriority w:val="99"/>
    <w:semiHidden/>
    <w:unhideWhenUsed/>
    <w:rPr>
      <w:color w:val="0000FF"/>
      <w:u w:val="single"/>
    </w:rPr>
  </w:style>
  <w:style w:type="character" w:styleId="ab">
    <w:name w:val="annotation reference"/>
    <w:uiPriority w:val="99"/>
    <w:semiHidden/>
    <w:unhideWhenUsed/>
    <w:rPr>
      <w:sz w:val="21"/>
      <w:szCs w:val="21"/>
    </w:rPr>
  </w:style>
  <w:style w:type="table" w:styleId="ac">
    <w:name w:val="Table Grid"/>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basedOn w:val="a0"/>
    <w:link w:val="a7"/>
    <w:uiPriority w:val="99"/>
    <w:rPr>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4">
    <w:name w:val="页眉 Char"/>
    <w:basedOn w:val="a0"/>
    <w:link w:val="a8"/>
    <w:uiPriority w:val="99"/>
    <w:rPr>
      <w:rFonts w:ascii="Times New Roman" w:eastAsia="宋体" w:hAnsi="Times New Roman" w:cs="Times New Roman"/>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table" w:customStyle="1" w:styleId="1">
    <w:name w:val="网格型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日期 Char"/>
    <w:basedOn w:val="a0"/>
    <w:link w:val="a5"/>
    <w:uiPriority w:val="99"/>
    <w:semiHidden/>
  </w:style>
  <w:style w:type="paragraph" w:customStyle="1" w:styleId="font5">
    <w:name w:val="font5"/>
    <w:basedOn w:val="a"/>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table" w:customStyle="1" w:styleId="2">
    <w:name w:val="网格型2"/>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唐亮</dc:creator>
  <cp:lastModifiedBy>李梦实</cp:lastModifiedBy>
  <cp:revision>7</cp:revision>
  <cp:lastPrinted>2019-02-11T05:50:00Z</cp:lastPrinted>
  <dcterms:created xsi:type="dcterms:W3CDTF">2019-01-30T09:24:00Z</dcterms:created>
  <dcterms:modified xsi:type="dcterms:W3CDTF">2019-02-14T02:14:00Z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