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4284D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里仁街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4284D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812000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4284D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812000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54284D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54284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812000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54284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812000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Pr="006535EB" w:rsidRDefault="0054284D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DD6FD8">
              <w:rPr>
                <w:rFonts w:hint="eastAsia"/>
              </w:rPr>
              <w:t>城市支路，规划长度约</w:t>
            </w:r>
            <w:r w:rsidRPr="00DD6FD8">
              <w:rPr>
                <w:rFonts w:hint="eastAsia"/>
              </w:rPr>
              <w:t>890</w:t>
            </w:r>
            <w:r w:rsidRPr="00DD6FD8">
              <w:rPr>
                <w:rFonts w:hint="eastAsia"/>
              </w:rPr>
              <w:t>米，红线宽</w:t>
            </w:r>
            <w:r w:rsidRPr="00DD6FD8">
              <w:rPr>
                <w:rFonts w:hint="eastAsia"/>
              </w:rPr>
              <w:t>25</w:t>
            </w:r>
            <w:r w:rsidRPr="00DD6FD8">
              <w:rPr>
                <w:rFonts w:hint="eastAsia"/>
              </w:rPr>
              <w:t>米，道路及配套设施工程，总投资额</w:t>
            </w:r>
            <w:r w:rsidRPr="00DD6FD8">
              <w:rPr>
                <w:rFonts w:hint="eastAsia"/>
              </w:rPr>
              <w:t>775220000</w:t>
            </w:r>
            <w:r w:rsidRPr="00DD6FD8">
              <w:rPr>
                <w:rFonts w:hint="eastAsia"/>
              </w:rPr>
              <w:t>元。本年度需完成以下工</w:t>
            </w:r>
            <w:r>
              <w:rPr>
                <w:rFonts w:hint="eastAsia"/>
              </w:rPr>
              <w:t>作计划：完成电力设计，道路排水交通照明绿化设计，申报设计概算。</w:t>
            </w:r>
            <w:r w:rsidRPr="00DD6FD8">
              <w:rPr>
                <w:rFonts w:hint="eastAsia"/>
              </w:rPr>
              <w:t>需资金预算</w:t>
            </w:r>
            <w:r w:rsidRPr="00DD6FD8">
              <w:rPr>
                <w:rFonts w:hint="eastAsia"/>
              </w:rPr>
              <w:t>812000</w:t>
            </w:r>
            <w:r w:rsidRPr="00DD6FD8">
              <w:rPr>
                <w:rFonts w:hint="eastAsia"/>
              </w:rPr>
              <w:t>元。</w:t>
            </w: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54284D" w:rsidP="002B7934">
            <w:pPr>
              <w:jc w:val="right"/>
            </w:pPr>
            <w:r>
              <w:rPr>
                <w:rFonts w:hint="eastAsia"/>
              </w:rPr>
              <w:t>812000</w:t>
            </w:r>
          </w:p>
        </w:tc>
        <w:tc>
          <w:tcPr>
            <w:tcW w:w="1134" w:type="dxa"/>
            <w:vAlign w:val="center"/>
          </w:tcPr>
          <w:p w:rsidR="006535EB" w:rsidRDefault="0054284D" w:rsidP="006535EB">
            <w:pPr>
              <w:jc w:val="right"/>
            </w:pPr>
            <w:r>
              <w:rPr>
                <w:rFonts w:hint="eastAsia"/>
              </w:rPr>
              <w:t>812000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63" w:rsidRDefault="00A94C63" w:rsidP="00F25B84">
      <w:r>
        <w:separator/>
      </w:r>
    </w:p>
  </w:endnote>
  <w:endnote w:type="continuationSeparator" w:id="0">
    <w:p w:rsidR="00A94C63" w:rsidRDefault="00A94C63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63" w:rsidRDefault="00A94C63" w:rsidP="00F25B84">
      <w:r>
        <w:separator/>
      </w:r>
    </w:p>
  </w:footnote>
  <w:footnote w:type="continuationSeparator" w:id="0">
    <w:p w:rsidR="00A94C63" w:rsidRDefault="00A94C63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8451D"/>
    <w:rsid w:val="005B5E8B"/>
    <w:rsid w:val="005F3FF7"/>
    <w:rsid w:val="005F6F91"/>
    <w:rsid w:val="006535EB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94C63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>MC SYSTEM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2018-12-10T03:26:00Z</dcterms:created>
  <dcterms:modified xsi:type="dcterms:W3CDTF">2018-12-10T03:26:00Z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