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Times New Roman"/>
          <w:b/>
          <w:sz w:val="44"/>
          <w:szCs w:val="44"/>
        </w:rPr>
      </w:pPr>
    </w:p>
    <w:p>
      <w:pPr>
        <w:jc w:val="center"/>
        <w:rPr>
          <w:rFonts w:ascii="仿宋_GB2312" w:hAnsi="Times New Roman"/>
          <w:b/>
          <w:sz w:val="44"/>
          <w:szCs w:val="44"/>
        </w:rPr>
      </w:pPr>
    </w:p>
    <w:p>
      <w:pPr>
        <w:jc w:val="center"/>
        <w:rPr>
          <w:rFonts w:ascii="仿宋_GB2312" w:hAnsi="Times New Roman"/>
          <w:b/>
          <w:sz w:val="44"/>
          <w:szCs w:val="44"/>
        </w:rPr>
      </w:pPr>
    </w:p>
    <w:p>
      <w:pPr>
        <w:jc w:val="center"/>
        <w:rPr>
          <w:rFonts w:ascii="仿宋_GB2312" w:hAnsi="Times New Roman"/>
          <w:b/>
          <w:sz w:val="44"/>
          <w:szCs w:val="44"/>
        </w:rPr>
      </w:pPr>
      <w:r>
        <w:rPr>
          <w:rFonts w:hint="eastAsia" w:ascii="仿宋_GB2312" w:hAnsi="Times New Roman"/>
          <w:b/>
          <w:sz w:val="44"/>
          <w:szCs w:val="44"/>
        </w:rPr>
        <w:t>201</w:t>
      </w:r>
      <w:r>
        <w:rPr>
          <w:rFonts w:hint="eastAsia" w:ascii="仿宋_GB2312" w:hAnsi="Times New Roman"/>
          <w:b/>
          <w:sz w:val="44"/>
          <w:szCs w:val="44"/>
          <w:lang w:val="en-US" w:eastAsia="zh-CN"/>
        </w:rPr>
        <w:t>8</w:t>
      </w:r>
      <w:r>
        <w:rPr>
          <w:rFonts w:hint="eastAsia" w:ascii="仿宋_GB2312" w:hAnsi="Times New Roman"/>
          <w:b/>
          <w:sz w:val="44"/>
          <w:szCs w:val="44"/>
        </w:rPr>
        <w:t>年部门决算“三公”经费</w:t>
      </w:r>
    </w:p>
    <w:p>
      <w:pPr>
        <w:jc w:val="center"/>
        <w:rPr>
          <w:rFonts w:ascii="仿宋_GB2312" w:hAnsi="Times New Roman"/>
          <w:b/>
          <w:sz w:val="44"/>
          <w:szCs w:val="44"/>
        </w:rPr>
      </w:pPr>
      <w:r>
        <w:rPr>
          <w:rFonts w:hint="eastAsia" w:ascii="仿宋_GB2312" w:hAnsi="Times New Roman"/>
          <w:b/>
          <w:sz w:val="44"/>
          <w:szCs w:val="44"/>
        </w:rPr>
        <w:t>财政拨款支出情况表</w:t>
      </w:r>
    </w:p>
    <w:p>
      <w:pPr>
        <w:jc w:val="center"/>
        <w:rPr>
          <w:rFonts w:ascii="仿宋_GB2312" w:hAnsi="Times New Roman"/>
          <w:b/>
          <w:sz w:val="44"/>
          <w:szCs w:val="44"/>
        </w:rPr>
      </w:pPr>
    </w:p>
    <w:p>
      <w:pPr>
        <w:widowControl/>
        <w:jc w:val="right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单位：元</w:t>
      </w:r>
    </w:p>
    <w:p>
      <w:pPr>
        <w:rPr>
          <w:rFonts w:ascii="Times New Roman" w:hAnsi="Times New Roman"/>
          <w:szCs w:val="24"/>
        </w:rPr>
      </w:pPr>
    </w:p>
    <w:tbl>
      <w:tblPr>
        <w:tblStyle w:val="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40"/>
        <w:gridCol w:w="1440"/>
        <w:gridCol w:w="1440"/>
        <w:gridCol w:w="1260"/>
        <w:gridCol w:w="1260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合计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因公出国（境）费用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公务接待费</w:t>
            </w:r>
          </w:p>
        </w:tc>
        <w:tc>
          <w:tcPr>
            <w:tcW w:w="3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公务用车购置及运行维护费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小计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公务用车购置费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公务用车运行维护费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Cs w:val="24"/>
              </w:rPr>
              <w:t>年决算数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54,773.66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51,721.22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3,052.44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3,052.44</w:t>
            </w:r>
          </w:p>
        </w:tc>
      </w:tr>
    </w:tbl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注：</w:t>
      </w:r>
      <w:r>
        <w:rPr>
          <w:rFonts w:ascii="Times New Roman" w:hAnsi="Times New Roman"/>
          <w:szCs w:val="24"/>
        </w:rPr>
        <w:t>1</w:t>
      </w:r>
      <w:r>
        <w:rPr>
          <w:rFonts w:hint="eastAsia" w:ascii="Times New Roman" w:hAnsi="Times New Roman"/>
          <w:szCs w:val="24"/>
        </w:rPr>
        <w:t>、因公出国（境）费用含因公赴香港、澳门、台湾地区的费用。</w:t>
      </w:r>
    </w:p>
    <w:p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2</w:t>
      </w:r>
      <w:r>
        <w:rPr>
          <w:rFonts w:hint="eastAsia" w:ascii="Times New Roman" w:hAnsi="Times New Roman"/>
          <w:szCs w:val="24"/>
        </w:rPr>
        <w:t>、公务用车购置费含更新公务用车费用。</w:t>
      </w:r>
    </w:p>
    <w:p>
      <w:pPr>
        <w:rPr>
          <w:rFonts w:ascii="仿宋_GB2312" w:hAnsi="Times New Roman"/>
          <w:b/>
          <w:sz w:val="44"/>
          <w:szCs w:val="44"/>
        </w:rPr>
      </w:pPr>
      <w:bookmarkStart w:id="0" w:name="_GoBack"/>
      <w:bookmarkEnd w:id="0"/>
    </w:p>
    <w:p>
      <w:pPr>
        <w:rPr>
          <w:rFonts w:ascii="仿宋_GB2312" w:hAnsi="Times New Roman"/>
          <w:b/>
          <w:sz w:val="44"/>
          <w:szCs w:val="44"/>
        </w:rPr>
      </w:pPr>
    </w:p>
    <w:p>
      <w:pPr>
        <w:rPr>
          <w:rFonts w:ascii="仿宋_GB2312" w:hAnsi="Times New Roman"/>
          <w:b/>
          <w:sz w:val="44"/>
          <w:szCs w:val="44"/>
        </w:rPr>
      </w:pPr>
    </w:p>
    <w:p>
      <w:pPr>
        <w:rPr>
          <w:rFonts w:ascii="仿宋_GB2312" w:hAnsi="Times New Roman"/>
          <w:b/>
          <w:sz w:val="44"/>
          <w:szCs w:val="44"/>
        </w:rPr>
      </w:pPr>
    </w:p>
    <w:p>
      <w:pPr>
        <w:jc w:val="center"/>
        <w:rPr>
          <w:rFonts w:ascii="仿宋_GB2312" w:hAnsi="Times New Roman"/>
          <w:b/>
          <w:sz w:val="44"/>
          <w:szCs w:val="44"/>
        </w:rPr>
      </w:pPr>
    </w:p>
    <w:p>
      <w:pPr>
        <w:jc w:val="center"/>
        <w:rPr>
          <w:rFonts w:ascii="仿宋_GB2312" w:hAnsi="Times New Roman"/>
          <w:b/>
          <w:sz w:val="44"/>
          <w:szCs w:val="44"/>
        </w:rPr>
      </w:pPr>
    </w:p>
    <w:p>
      <w:pPr>
        <w:jc w:val="center"/>
        <w:rPr>
          <w:rFonts w:ascii="仿宋_GB2312" w:hAnsi="Times New Roman"/>
          <w:b/>
          <w:sz w:val="44"/>
          <w:szCs w:val="44"/>
        </w:rPr>
      </w:pPr>
    </w:p>
    <w:p>
      <w:pPr>
        <w:jc w:val="center"/>
        <w:rPr>
          <w:rFonts w:ascii="仿宋_GB2312" w:hAnsi="Times New Roman"/>
          <w:b/>
          <w:sz w:val="44"/>
          <w:szCs w:val="44"/>
        </w:rPr>
      </w:pPr>
    </w:p>
    <w:p>
      <w:pPr>
        <w:jc w:val="center"/>
        <w:rPr>
          <w:rFonts w:ascii="仿宋_GB2312" w:hAnsi="Times New Roman"/>
          <w:b/>
          <w:sz w:val="44"/>
          <w:szCs w:val="44"/>
        </w:rPr>
      </w:pPr>
    </w:p>
    <w:p>
      <w:pPr>
        <w:jc w:val="center"/>
        <w:rPr>
          <w:rFonts w:ascii="仿宋_GB2312" w:hAnsi="Times New Roman"/>
          <w:b/>
          <w:sz w:val="44"/>
          <w:szCs w:val="44"/>
        </w:rPr>
      </w:pPr>
    </w:p>
    <w:p>
      <w:pPr>
        <w:jc w:val="center"/>
        <w:rPr>
          <w:rFonts w:ascii="仿宋_GB2312" w:hAnsi="Times New Roman"/>
          <w:b/>
          <w:sz w:val="44"/>
          <w:szCs w:val="44"/>
        </w:rPr>
      </w:pPr>
      <w:r>
        <w:rPr>
          <w:rFonts w:hint="eastAsia" w:ascii="仿宋_GB2312" w:hAnsi="Times New Roman"/>
          <w:b/>
          <w:sz w:val="44"/>
          <w:szCs w:val="44"/>
        </w:rPr>
        <w:t>2017年部门决算“三公”经费</w:t>
      </w:r>
    </w:p>
    <w:p>
      <w:pPr>
        <w:jc w:val="center"/>
        <w:rPr>
          <w:rFonts w:ascii="仿宋_GB2312" w:hAnsi="Times New Roman"/>
          <w:b/>
          <w:sz w:val="44"/>
          <w:szCs w:val="44"/>
        </w:rPr>
      </w:pPr>
      <w:r>
        <w:rPr>
          <w:rFonts w:hint="eastAsia" w:ascii="仿宋_GB2312" w:hAnsi="Times New Roman"/>
          <w:b/>
          <w:sz w:val="44"/>
          <w:szCs w:val="44"/>
        </w:rPr>
        <w:t>财政拨款支出情况说明</w:t>
      </w:r>
    </w:p>
    <w:p>
      <w:pPr>
        <w:rPr>
          <w:rFonts w:ascii="仿宋_GB2312" w:hAnsi="Times New Roman"/>
          <w:szCs w:val="24"/>
        </w:rPr>
      </w:pP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一、决算单位范围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北京市西城区妇女联合会部门决算中因公出国（境）费、公务接待费、公务用车购置及运行维护费的支出单位包括2个所属单位，即北京市西城区妇女联合会和北京市西城区妇女儿童发展中心。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二、关于2017年部门决算中“三公”经费财政拨款支出情况及与上年对比原因说明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2017年部门决算“三公”经费财政拨款支出94151元，2016年部门决算“三公”经费财政拨款支出36500元，比上年增加57651元，原因为随市妇联调增出国经费和公车改革，其中：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（一）因公出国（境）费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2017年财政拨款因公出国（境）费支出48151元，2016年财政拨款因公出国（境）费支出15000元，比上年增加33151元，原因为随市妇联调增出国指标。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因公出国（境）团组情况：本年度本单位使用公共预算财政拨款安排的出国（境）团组0个，参加其他单位组织的出国（境）团组2个；全年因公出国（境）累计2人次。</w:t>
      </w: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ab/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（二）公务接待费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2017年财政拨款公务接待费支出0元。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本年度本单位使用公共预</w:t>
      </w: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>算财政拨款支出的国内公务接待0批次0元；外事接待0批次0人次0元。</w:t>
      </w:r>
      <w:r>
        <w:rPr>
          <w:rFonts w:hint="eastAsia" w:ascii="仿宋_GB2312" w:hAnsi="Times New Roman" w:eastAsia="仿宋_GB2312"/>
          <w:sz w:val="32"/>
          <w:szCs w:val="32"/>
        </w:rPr>
        <w:tab/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（三）公务用车购置及运行维护费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2017年财政拨款公务用车购置及运行维护费支出46000元，2016年财政拨款公务用车购置及运行维护费支出21500元，比上年增加24500元，原因为公车改革保留2辆车。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其中公务用车购置费0元，公务用车运行维护费46000元。本年度本单位使用公共预算财政拨款购置公务用车</w:t>
      </w: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>0 辆，年末公共预算财政拨款开支运行维护费的公务用车保有量2辆。</w:t>
      </w: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66"/>
    <w:rsid w:val="00103DA3"/>
    <w:rsid w:val="00103FBC"/>
    <w:rsid w:val="00152E31"/>
    <w:rsid w:val="00252ECA"/>
    <w:rsid w:val="003A49CC"/>
    <w:rsid w:val="00404605"/>
    <w:rsid w:val="009A4B66"/>
    <w:rsid w:val="009E2477"/>
    <w:rsid w:val="00AF446F"/>
    <w:rsid w:val="00D531E5"/>
    <w:rsid w:val="4CEB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774</Characters>
  <Lines>6</Lines>
  <Paragraphs>1</Paragraphs>
  <TotalTime>32</TotalTime>
  <ScaleCrop>false</ScaleCrop>
  <LinksUpToDate>false</LinksUpToDate>
  <CharactersWithSpaces>908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2017-07-20T08:33:00Z</dcterms:created>
  <dc:creator>1120</dc:creator>
  <cp:lastModifiedBy>1120</cp:lastModifiedBy>
  <dcterms:modified xsi:type="dcterms:W3CDTF">2019-08-26T07:04:35Z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