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北京市西城区</w:t>
      </w:r>
      <w:r>
        <w:rPr>
          <w:rFonts w:hint="eastAsia"/>
          <w:sz w:val="36"/>
          <w:szCs w:val="36"/>
          <w:lang w:eastAsia="zh-CN"/>
        </w:rPr>
        <w:t>计划生育药具管理站</w:t>
      </w: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年部门决算</w:t>
      </w:r>
    </w:p>
    <w:p>
      <w:pPr>
        <w:jc w:val="center"/>
        <w:rPr>
          <w:rFonts w:ascii="仿宋_GB2312" w:hAnsi="仿宋"/>
        </w:rPr>
      </w:pPr>
    </w:p>
    <w:p>
      <w:pPr>
        <w:jc w:val="center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目录</w:t>
      </w:r>
    </w:p>
    <w:p>
      <w:pPr>
        <w:rPr>
          <w:rFonts w:ascii="仿宋_GB2312" w:hAnsi="宋体"/>
          <w:sz w:val="32"/>
          <w:szCs w:val="32"/>
        </w:rPr>
      </w:pPr>
    </w:p>
    <w:p>
      <w:pPr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第一部分  </w:t>
      </w:r>
      <w:r>
        <w:rPr>
          <w:rFonts w:hint="eastAsia" w:ascii="仿宋_GB2312" w:hAnsi="宋体"/>
          <w:sz w:val="32"/>
          <w:szCs w:val="32"/>
          <w:lang w:eastAsia="zh-CN"/>
        </w:rPr>
        <w:t>2018</w:t>
      </w:r>
      <w:r>
        <w:rPr>
          <w:rFonts w:hint="eastAsia" w:ascii="仿宋_GB2312" w:hAnsi="宋体"/>
          <w:sz w:val="32"/>
          <w:szCs w:val="32"/>
        </w:rPr>
        <w:t>年部门决算说明</w:t>
      </w:r>
    </w:p>
    <w:p>
      <w:pPr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第二部分  </w:t>
      </w:r>
      <w:r>
        <w:rPr>
          <w:rFonts w:hint="eastAsia" w:ascii="仿宋_GB2312" w:hAnsi="宋体"/>
          <w:sz w:val="32"/>
          <w:szCs w:val="32"/>
          <w:lang w:eastAsia="zh-CN"/>
        </w:rPr>
        <w:t>2018</w:t>
      </w:r>
      <w:r>
        <w:rPr>
          <w:rFonts w:hint="eastAsia" w:ascii="仿宋_GB2312" w:hAnsi="宋体"/>
          <w:sz w:val="32"/>
          <w:szCs w:val="32"/>
        </w:rPr>
        <w:t>年部门决算表</w:t>
      </w:r>
    </w:p>
    <w:p>
      <w:pPr>
        <w:rPr>
          <w:rFonts w:ascii="仿宋_GB2312" w:hAnsi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仿宋_GB2312" w:hAnsi="楷体"/>
          <w:b/>
          <w:sz w:val="32"/>
          <w:szCs w:val="32"/>
        </w:rPr>
        <w:t xml:space="preserve"> </w:t>
      </w:r>
      <w:r>
        <w:rPr>
          <w:rFonts w:hint="eastAsia" w:ascii="仿宋_GB2312" w:hAnsi="楷体"/>
          <w:sz w:val="32"/>
          <w:szCs w:val="32"/>
        </w:rPr>
        <w:t>1、部门收支总体情况表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2、部门收入总体情况表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3、部门支出总体情况表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4、财政拨款收支总体情况表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5、一般公共预算支出情况表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6、一般公共预算基本支出情况表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7、一般公共预算“三公”经费支出情况表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8、政府性基金预算支出情况表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9、</w:t>
      </w:r>
      <w:r>
        <w:rPr>
          <w:rFonts w:hint="eastAsia" w:ascii="仿宋_GB2312" w:hAnsi="楷体"/>
          <w:sz w:val="32"/>
          <w:szCs w:val="32"/>
          <w:lang w:eastAsia="zh-CN"/>
        </w:rPr>
        <w:t>2018</w:t>
      </w:r>
      <w:r>
        <w:rPr>
          <w:rFonts w:hint="eastAsia" w:ascii="仿宋_GB2312" w:hAnsi="楷体"/>
          <w:sz w:val="32"/>
          <w:szCs w:val="32"/>
        </w:rPr>
        <w:t>年政府采购情况表</w:t>
      </w: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both"/>
        <w:rPr>
          <w:rFonts w:ascii="仿宋" w:hAnsi="仿宋" w:eastAsia="仿宋"/>
          <w:b/>
        </w:rPr>
      </w:pPr>
    </w:p>
    <w:p>
      <w:pPr>
        <w:spacing w:line="360" w:lineRule="auto"/>
        <w:jc w:val="both"/>
        <w:rPr>
          <w:rFonts w:ascii="仿宋" w:hAnsi="仿宋" w:eastAsia="仿宋"/>
          <w:b/>
        </w:rPr>
      </w:pPr>
    </w:p>
    <w:p>
      <w:pPr>
        <w:spacing w:line="360" w:lineRule="auto"/>
        <w:jc w:val="both"/>
        <w:rPr>
          <w:rFonts w:ascii="仿宋" w:hAnsi="仿宋" w:eastAsia="仿宋"/>
          <w:b/>
        </w:rPr>
      </w:pPr>
    </w:p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第一部分  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2018</w:t>
      </w:r>
      <w:r>
        <w:rPr>
          <w:rFonts w:hint="eastAsia" w:ascii="仿宋" w:hAnsi="仿宋" w:eastAsia="仿宋"/>
          <w:b/>
          <w:sz w:val="36"/>
          <w:szCs w:val="36"/>
        </w:rPr>
        <w:t>年部门决算说明</w:t>
      </w:r>
    </w:p>
    <w:p>
      <w:pPr>
        <w:numPr>
          <w:ilvl w:val="0"/>
          <w:numId w:val="1"/>
        </w:numPr>
        <w:spacing w:line="52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部门情况</w:t>
      </w:r>
    </w:p>
    <w:p>
      <w:pPr>
        <w:spacing w:line="520" w:lineRule="exact"/>
        <w:ind w:firstLine="708" w:firstLineChars="235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（一）部门机构设置、职责</w:t>
      </w:r>
    </w:p>
    <w:p>
      <w:pPr>
        <w:pStyle w:val="6"/>
        <w:adjustRightInd w:val="0"/>
        <w:snapToGrid w:val="0"/>
        <w:spacing w:line="360" w:lineRule="auto"/>
        <w:ind w:firstLine="1200" w:firstLineChars="400"/>
        <w:rPr>
          <w:rFonts w:hint="eastAsia" w:cs="Times New Roman"/>
          <w:kern w:val="2"/>
          <w:sz w:val="30"/>
          <w:szCs w:val="30"/>
        </w:rPr>
      </w:pPr>
      <w:r>
        <w:rPr>
          <w:rFonts w:hint="eastAsia" w:cs="Times New Roman"/>
          <w:kern w:val="2"/>
          <w:sz w:val="30"/>
          <w:szCs w:val="30"/>
          <w:lang w:val="en-US" w:eastAsia="zh-CN"/>
        </w:rPr>
        <w:t>1</w:t>
      </w:r>
      <w:r>
        <w:rPr>
          <w:rFonts w:hint="eastAsia" w:cs="Times New Roman"/>
          <w:kern w:val="2"/>
          <w:sz w:val="30"/>
          <w:szCs w:val="30"/>
        </w:rPr>
        <w:t xml:space="preserve">、宣传、贯彻、执行药具管理的方针政策。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2、</w:t>
      </w:r>
      <w:r>
        <w:rPr>
          <w:rFonts w:hint="eastAsia" w:cs="Times New Roman"/>
          <w:kern w:val="2"/>
          <w:sz w:val="30"/>
          <w:szCs w:val="30"/>
        </w:rPr>
        <w:t xml:space="preserve">编制、报送本区的药具年度需求计划。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3</w:t>
      </w:r>
      <w:r>
        <w:rPr>
          <w:rFonts w:hint="eastAsia" w:cs="Times New Roman"/>
          <w:kern w:val="2"/>
          <w:sz w:val="30"/>
          <w:szCs w:val="30"/>
        </w:rPr>
        <w:t xml:space="preserve">、执行市药具站下达的药具调拨计划。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4</w:t>
      </w:r>
      <w:r>
        <w:rPr>
          <w:rFonts w:hint="eastAsia" w:cs="Times New Roman"/>
          <w:kern w:val="2"/>
          <w:sz w:val="30"/>
          <w:szCs w:val="30"/>
        </w:rPr>
        <w:t xml:space="preserve">、承担本区药具的计划执行、供应调拨、统计监控、信息采集、仓储管理、质量管理等工作。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5</w:t>
      </w:r>
      <w:r>
        <w:rPr>
          <w:rFonts w:hint="eastAsia" w:cs="Times New Roman"/>
          <w:kern w:val="2"/>
          <w:sz w:val="30"/>
          <w:szCs w:val="30"/>
        </w:rPr>
        <w:t xml:space="preserve">、指导街道药管员做好药具管理、发放与服务工作。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6</w:t>
      </w:r>
      <w:r>
        <w:rPr>
          <w:rFonts w:hint="eastAsia" w:cs="Times New Roman"/>
          <w:kern w:val="2"/>
          <w:sz w:val="30"/>
          <w:szCs w:val="30"/>
        </w:rPr>
        <w:t>、负责街道社区药具的计划管理、质量管理、目标考核、发放服务等工作的业务指导和监督检查</w:t>
      </w:r>
      <w:r>
        <w:rPr>
          <w:rFonts w:hint="eastAsia" w:cs="Times New Roman"/>
          <w:kern w:val="2"/>
          <w:sz w:val="30"/>
          <w:szCs w:val="30"/>
          <w:lang w:eastAsia="zh-CN"/>
        </w:rPr>
        <w:t>。</w:t>
      </w:r>
      <w:r>
        <w:rPr>
          <w:rFonts w:hint="eastAsia" w:cs="Times New Roman"/>
          <w:kern w:val="2"/>
          <w:sz w:val="30"/>
          <w:szCs w:val="30"/>
        </w:rPr>
        <w:t xml:space="preserve">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7</w:t>
      </w:r>
      <w:r>
        <w:rPr>
          <w:rFonts w:hint="eastAsia" w:cs="Times New Roman"/>
          <w:kern w:val="2"/>
          <w:sz w:val="30"/>
          <w:szCs w:val="30"/>
        </w:rPr>
        <w:t xml:space="preserve">、组织实施本区药具系统的业务培训和避孕药具科普知识宣传。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8</w:t>
      </w:r>
      <w:r>
        <w:rPr>
          <w:rFonts w:hint="eastAsia" w:cs="Times New Roman"/>
          <w:kern w:val="2"/>
          <w:sz w:val="30"/>
          <w:szCs w:val="30"/>
        </w:rPr>
        <w:t>、负责保持药具库房清洁、通风、干燥，药具摆放整齐；按照“先进先出”的原则，做到药具无积压浪费、</w:t>
      </w:r>
      <w:r>
        <w:rPr>
          <w:rFonts w:hint="eastAsia" w:cs="Times New Roman"/>
          <w:kern w:val="2"/>
          <w:sz w:val="30"/>
          <w:szCs w:val="30"/>
          <w:lang w:eastAsia="zh-CN"/>
        </w:rPr>
        <w:t>无</w:t>
      </w:r>
      <w:r>
        <w:rPr>
          <w:rFonts w:hint="eastAsia" w:cs="Times New Roman"/>
          <w:kern w:val="2"/>
          <w:sz w:val="30"/>
          <w:szCs w:val="30"/>
        </w:rPr>
        <w:t xml:space="preserve">过期变质；出入库手续健全，帐物相符。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9</w:t>
      </w:r>
      <w:r>
        <w:rPr>
          <w:rFonts w:hint="eastAsia" w:cs="Times New Roman"/>
          <w:kern w:val="2"/>
          <w:sz w:val="30"/>
          <w:szCs w:val="30"/>
        </w:rPr>
        <w:t>、区级药管员应做到“三清”、“三懂”、“三</w:t>
      </w:r>
      <w:r>
        <w:rPr>
          <w:rFonts w:hint="eastAsia" w:cs="Times New Roman"/>
          <w:kern w:val="2"/>
          <w:sz w:val="30"/>
          <w:szCs w:val="30"/>
          <w:lang w:eastAsia="zh-CN"/>
        </w:rPr>
        <w:t>会</w:t>
      </w:r>
      <w:r>
        <w:rPr>
          <w:rFonts w:hint="eastAsia" w:cs="Times New Roman"/>
          <w:kern w:val="2"/>
          <w:sz w:val="30"/>
          <w:szCs w:val="30"/>
        </w:rPr>
        <w:t>”</w:t>
      </w:r>
      <w:r>
        <w:rPr>
          <w:rFonts w:hint="eastAsia" w:cs="Times New Roman"/>
          <w:kern w:val="2"/>
          <w:sz w:val="30"/>
          <w:szCs w:val="30"/>
          <w:lang w:eastAsia="zh-CN"/>
        </w:rPr>
        <w:t>；“三清”</w:t>
      </w:r>
      <w:r>
        <w:rPr>
          <w:rFonts w:hint="eastAsia" w:cs="Times New Roman"/>
          <w:kern w:val="2"/>
          <w:sz w:val="30"/>
          <w:szCs w:val="30"/>
        </w:rPr>
        <w:t>：应使用药具对象清；药具进、发、存数量清；药具使用效果清。“三懂”</w:t>
      </w:r>
      <w:r>
        <w:rPr>
          <w:rFonts w:hint="eastAsia" w:cs="Times New Roman"/>
          <w:kern w:val="2"/>
          <w:sz w:val="30"/>
          <w:szCs w:val="30"/>
          <w:lang w:eastAsia="zh-CN"/>
        </w:rPr>
        <w:t>：</w:t>
      </w:r>
      <w:r>
        <w:rPr>
          <w:rFonts w:hint="eastAsia" w:cs="Times New Roman"/>
          <w:kern w:val="2"/>
          <w:sz w:val="30"/>
          <w:szCs w:val="30"/>
        </w:rPr>
        <w:t xml:space="preserve">懂避孕节育基本知识；懂药具基本性能；懂药具使用方法和副作用处理。“三会”：会宣传、会管理、会指导。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10</w:t>
      </w:r>
      <w:r>
        <w:rPr>
          <w:rFonts w:hint="eastAsia" w:cs="Times New Roman"/>
          <w:kern w:val="2"/>
          <w:sz w:val="30"/>
          <w:szCs w:val="30"/>
        </w:rPr>
        <w:t xml:space="preserve">、认真总结推广本区药具管理工作经验，及时上报。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cs="Times New Roman"/>
          <w:kern w:val="2"/>
          <w:sz w:val="30"/>
          <w:szCs w:val="30"/>
        </w:rPr>
        <w:t xml:space="preserve">、承办西城区卫计委交办的其它工作。 </w:t>
      </w:r>
    </w:p>
    <w:p>
      <w:pPr>
        <w:numPr>
          <w:ilvl w:val="0"/>
          <w:numId w:val="2"/>
        </w:numPr>
        <w:spacing w:line="360" w:lineRule="auto"/>
        <w:ind w:firstLine="643" w:firstLineChars="20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单位及人员构成情况</w:t>
      </w:r>
    </w:p>
    <w:p>
      <w:pPr>
        <w:spacing w:line="360" w:lineRule="auto"/>
        <w:ind w:firstLine="555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北京市西城区计划生育药具管理站行政编制0人</w:t>
      </w:r>
      <w:r>
        <w:rPr>
          <w:rFonts w:ascii="宋体" w:hAnsi="宋体" w:cs="宋体"/>
          <w:sz w:val="32"/>
          <w:szCs w:val="32"/>
        </w:rPr>
        <w:t>;</w:t>
      </w:r>
      <w:r>
        <w:rPr>
          <w:rFonts w:hint="eastAsia" w:ascii="宋体" w:hAnsi="宋体" w:cs="宋体"/>
          <w:sz w:val="32"/>
          <w:szCs w:val="32"/>
        </w:rPr>
        <w:t>事业编制4人；工勤编制0名；实际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人；长期聘用临时工0人。</w:t>
      </w:r>
    </w:p>
    <w:p>
      <w:pPr>
        <w:spacing w:line="360" w:lineRule="auto"/>
        <w:ind w:firstLine="555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离退休人员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人，其中：离休0人，退休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人。</w:t>
      </w:r>
    </w:p>
    <w:p>
      <w:pPr>
        <w:spacing w:line="560" w:lineRule="exact"/>
        <w:ind w:firstLine="643" w:firstLineChars="20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（三）本年度的主要工作任务</w:t>
      </w:r>
    </w:p>
    <w:p>
      <w:pPr>
        <w:spacing w:line="360" w:lineRule="auto"/>
        <w:ind w:firstLine="600" w:firstLineChars="200"/>
        <w:outlineLvl w:val="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按照“一个核心、两个到位、三个知道” 的宣传与服务思路，加强免费避孕药具宣传指导，为育龄群众提供便捷高效</w:t>
      </w:r>
      <w:r>
        <w:rPr>
          <w:rFonts w:hint="eastAsia" w:ascii="宋体" w:hAnsi="宋体"/>
          <w:bCs/>
          <w:sz w:val="30"/>
          <w:szCs w:val="30"/>
          <w:lang w:eastAsia="zh-CN"/>
        </w:rPr>
        <w:t>的</w:t>
      </w:r>
      <w:r>
        <w:rPr>
          <w:rFonts w:hint="eastAsia" w:ascii="宋体" w:hAnsi="宋体"/>
          <w:bCs/>
          <w:sz w:val="30"/>
          <w:szCs w:val="30"/>
        </w:rPr>
        <w:t>服务。 1、做好</w:t>
      </w:r>
      <w:r>
        <w:rPr>
          <w:rFonts w:hint="eastAsia" w:ascii="宋体" w:hAnsi="宋体"/>
          <w:bCs/>
          <w:sz w:val="30"/>
          <w:szCs w:val="30"/>
          <w:lang w:eastAsia="zh-CN"/>
        </w:rPr>
        <w:t>国家</w:t>
      </w:r>
      <w:r>
        <w:rPr>
          <w:rFonts w:hint="eastAsia" w:ascii="宋体" w:hAnsi="宋体"/>
          <w:bCs/>
          <w:sz w:val="30"/>
          <w:szCs w:val="30"/>
        </w:rPr>
        <w:t>免费</w:t>
      </w:r>
      <w:r>
        <w:rPr>
          <w:rFonts w:hint="eastAsia" w:ascii="宋体" w:hAnsi="宋体"/>
          <w:bCs/>
          <w:sz w:val="30"/>
          <w:szCs w:val="30"/>
          <w:lang w:eastAsia="zh-CN"/>
        </w:rPr>
        <w:t>提供</w:t>
      </w:r>
      <w:r>
        <w:rPr>
          <w:rFonts w:hint="eastAsia" w:ascii="宋体" w:hAnsi="宋体"/>
          <w:bCs/>
          <w:sz w:val="30"/>
          <w:szCs w:val="30"/>
        </w:rPr>
        <w:t>避孕药具有效需求与有效服务的课题研究工作。通过问卷调查等形式摸清区域内育龄群众对</w:t>
      </w:r>
      <w:r>
        <w:rPr>
          <w:rFonts w:hint="eastAsia" w:ascii="宋体" w:hAnsi="宋体"/>
          <w:bCs/>
          <w:sz w:val="30"/>
          <w:szCs w:val="30"/>
          <w:lang w:eastAsia="zh-CN"/>
        </w:rPr>
        <w:t>国家</w:t>
      </w:r>
      <w:r>
        <w:rPr>
          <w:rFonts w:hint="eastAsia" w:ascii="宋体" w:hAnsi="宋体"/>
          <w:bCs/>
          <w:sz w:val="30"/>
          <w:szCs w:val="30"/>
        </w:rPr>
        <w:t>免费</w:t>
      </w:r>
      <w:r>
        <w:rPr>
          <w:rFonts w:hint="eastAsia" w:ascii="宋体" w:hAnsi="宋体"/>
          <w:bCs/>
          <w:sz w:val="30"/>
          <w:szCs w:val="30"/>
          <w:lang w:eastAsia="zh-CN"/>
        </w:rPr>
        <w:t>提供</w:t>
      </w:r>
      <w:r>
        <w:rPr>
          <w:rFonts w:hint="eastAsia" w:ascii="宋体" w:hAnsi="宋体"/>
          <w:bCs/>
          <w:sz w:val="30"/>
          <w:szCs w:val="30"/>
        </w:rPr>
        <w:t>避孕药具的需求情况，为群众提</w:t>
      </w:r>
      <w:r>
        <w:rPr>
          <w:rFonts w:hint="eastAsia" w:ascii="宋体" w:hAnsi="宋体"/>
          <w:bCs/>
          <w:color w:val="000000" w:themeColor="text1"/>
          <w:sz w:val="30"/>
          <w:szCs w:val="30"/>
          <w:lang w:eastAsia="zh-CN"/>
        </w:rPr>
        <w:t>供</w:t>
      </w:r>
      <w:r>
        <w:rPr>
          <w:rFonts w:hint="eastAsia" w:ascii="宋体" w:hAnsi="宋体"/>
          <w:bCs/>
          <w:sz w:val="30"/>
          <w:szCs w:val="30"/>
        </w:rPr>
        <w:t>高质量、高效率的药具服务。 2、提升药具服务管理水平。满足自觉主动避孕人群的需求，按市药具</w:t>
      </w:r>
      <w:r>
        <w:rPr>
          <w:rFonts w:hint="eastAsia" w:ascii="宋体" w:hAnsi="宋体"/>
          <w:bCs/>
          <w:sz w:val="30"/>
          <w:szCs w:val="30"/>
          <w:lang w:eastAsia="zh-CN"/>
        </w:rPr>
        <w:t>站</w:t>
      </w:r>
      <w:r>
        <w:rPr>
          <w:rFonts w:hint="eastAsia" w:ascii="宋体" w:hAnsi="宋体"/>
          <w:bCs/>
          <w:sz w:val="30"/>
          <w:szCs w:val="30"/>
        </w:rPr>
        <w:t xml:space="preserve">服务工作要求，加大药具发放量，减少库存量，确保年度药具需求计划执行目标的完成。3.做好为辖区单位和街道社区避孕药具的配送与服务。 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二、收入决算说明</w:t>
      </w:r>
    </w:p>
    <w:p>
      <w:pPr>
        <w:spacing w:line="360" w:lineRule="auto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年本年收入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694,419.02</w:t>
      </w:r>
      <w:r>
        <w:rPr>
          <w:rFonts w:hint="eastAsia" w:ascii="仿宋" w:hAnsi="仿宋" w:eastAsia="仿宋"/>
          <w:sz w:val="30"/>
          <w:szCs w:val="30"/>
        </w:rPr>
        <w:t>元,全部是财政拨款收入,比</w:t>
      </w: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年年初预算减少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271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477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78</w:t>
      </w:r>
      <w:r>
        <w:rPr>
          <w:rFonts w:hint="eastAsia" w:ascii="仿宋" w:hAnsi="仿宋" w:eastAsia="仿宋"/>
          <w:sz w:val="30"/>
          <w:szCs w:val="30"/>
        </w:rPr>
        <w:t>元，年初结转和结余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元。</w:t>
      </w:r>
    </w:p>
    <w:p>
      <w:pPr>
        <w:spacing w:line="360" w:lineRule="auto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年本年支出合计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694,419.02</w:t>
      </w:r>
      <w:r>
        <w:rPr>
          <w:rFonts w:hint="eastAsia" w:ascii="仿宋" w:hAnsi="仿宋" w:eastAsia="仿宋"/>
          <w:sz w:val="30"/>
          <w:szCs w:val="30"/>
        </w:rPr>
        <w:t>元,比</w:t>
      </w: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年年初预算减少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271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477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78</w:t>
      </w:r>
      <w:r>
        <w:rPr>
          <w:rFonts w:hint="eastAsia" w:ascii="仿宋" w:hAnsi="仿宋" w:eastAsia="仿宋"/>
          <w:sz w:val="30"/>
          <w:szCs w:val="30"/>
        </w:rPr>
        <w:t>元，其中：基本支出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646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422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42</w:t>
      </w:r>
      <w:r>
        <w:rPr>
          <w:rFonts w:hint="eastAsia" w:ascii="仿宋" w:hAnsi="仿宋" w:eastAsia="仿宋"/>
          <w:sz w:val="30"/>
          <w:szCs w:val="30"/>
        </w:rPr>
        <w:t xml:space="preserve"> 元,占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93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/>
          <w:sz w:val="30"/>
          <w:szCs w:val="30"/>
        </w:rPr>
        <w:t>%;项目支出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996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/>
          <w:sz w:val="30"/>
          <w:szCs w:val="30"/>
        </w:rPr>
        <w:t xml:space="preserve"> 元,占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91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360" w:lineRule="auto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年年末结转和结余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元。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三、支出决算说明</w:t>
      </w:r>
    </w:p>
    <w:p>
      <w:pPr>
        <w:spacing w:line="520" w:lineRule="exact"/>
        <w:ind w:left="105" w:leftChars="50" w:firstLine="450" w:firstLineChars="15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（一）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公共预算财政</w:t>
      </w:r>
      <w:r>
        <w:rPr>
          <w:rFonts w:hint="eastAsia" w:ascii="仿宋_GB2312" w:eastAsia="仿宋_GB2312"/>
          <w:sz w:val="30"/>
          <w:szCs w:val="30"/>
          <w:lang w:eastAsia="zh-CN"/>
        </w:rPr>
        <w:t>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694,419.02</w:t>
      </w:r>
      <w:r>
        <w:rPr>
          <w:rFonts w:hint="eastAsia" w:ascii="仿宋_GB2312" w:eastAsia="仿宋_GB2312"/>
          <w:sz w:val="30"/>
          <w:szCs w:val="30"/>
        </w:rPr>
        <w:t>元，相比</w:t>
      </w:r>
      <w:r>
        <w:rPr>
          <w:rFonts w:hint="eastAsia" w:ascii="仿宋_GB2312" w:eastAsia="仿宋_GB2312"/>
          <w:sz w:val="30"/>
          <w:szCs w:val="30"/>
          <w:lang w:eastAsia="zh-CN"/>
        </w:rPr>
        <w:t>2018</w:t>
      </w:r>
      <w:r>
        <w:rPr>
          <w:rFonts w:hint="eastAsia" w:ascii="仿宋_GB2312" w:eastAsia="仿宋_GB2312"/>
          <w:sz w:val="30"/>
          <w:szCs w:val="30"/>
        </w:rPr>
        <w:t>年的</w:t>
      </w:r>
      <w:r>
        <w:rPr>
          <w:rFonts w:hint="eastAsia" w:ascii="仿宋_GB2312" w:eastAsia="仿宋_GB2312"/>
          <w:sz w:val="30"/>
          <w:szCs w:val="30"/>
          <w:lang w:eastAsia="zh-CN"/>
        </w:rPr>
        <w:t>年初预算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965,896.80</w:t>
      </w:r>
      <w:r>
        <w:rPr>
          <w:rFonts w:hint="eastAsia" w:ascii="仿宋_GB2312" w:eastAsia="仿宋_GB2312"/>
          <w:sz w:val="30"/>
          <w:szCs w:val="30"/>
        </w:rPr>
        <w:t>元，减少了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271,477.78</w:t>
      </w:r>
      <w:r>
        <w:rPr>
          <w:rFonts w:hint="eastAsia" w:ascii="仿宋_GB2312" w:eastAsia="仿宋_GB2312"/>
          <w:sz w:val="30"/>
          <w:szCs w:val="30"/>
        </w:rPr>
        <w:t>元，降幅为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28.11%</w:t>
      </w:r>
      <w:r>
        <w:rPr>
          <w:rFonts w:hint="eastAsia" w:ascii="仿宋_GB2312" w:eastAsia="仿宋_GB2312"/>
          <w:sz w:val="30"/>
          <w:szCs w:val="30"/>
        </w:rPr>
        <w:t>，主要是</w:t>
      </w:r>
      <w:r>
        <w:rPr>
          <w:rFonts w:hint="eastAsia" w:ascii="仿宋_GB2312" w:eastAsia="仿宋_GB2312"/>
          <w:sz w:val="30"/>
          <w:szCs w:val="30"/>
          <w:lang w:eastAsia="zh-CN"/>
        </w:rPr>
        <w:t>有一人退休</w:t>
      </w:r>
      <w:r>
        <w:rPr>
          <w:rFonts w:hint="eastAsia" w:ascii="仿宋_GB2312" w:eastAsia="仿宋_GB2312"/>
          <w:sz w:val="30"/>
          <w:szCs w:val="30"/>
        </w:rPr>
        <w:t>，其中（1）</w:t>
      </w:r>
      <w:r>
        <w:rPr>
          <w:rFonts w:hint="eastAsia" w:ascii="仿宋_GB2312" w:hAnsi="黑体" w:eastAsia="仿宋_GB2312"/>
          <w:sz w:val="30"/>
          <w:szCs w:val="30"/>
        </w:rPr>
        <w:t>基本支出决算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646,422.42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元，其中公用支出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21,151.30</w:t>
      </w:r>
      <w:r>
        <w:rPr>
          <w:rFonts w:hint="eastAsia" w:ascii="仿宋_GB2312" w:hAnsi="黑体" w:eastAsia="仿宋_GB2312"/>
          <w:sz w:val="30"/>
          <w:szCs w:val="30"/>
        </w:rPr>
        <w:t>元。（2）项目支出决算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47,996.60</w:t>
      </w:r>
      <w:r>
        <w:rPr>
          <w:rFonts w:hint="eastAsia" w:ascii="仿宋_GB2312" w:hAnsi="黑体" w:eastAsia="仿宋_GB2312"/>
          <w:sz w:val="30"/>
          <w:szCs w:val="30"/>
        </w:rPr>
        <w:t>元。主要项目是：</w:t>
      </w:r>
      <w:r>
        <w:rPr>
          <w:rFonts w:hint="eastAsia" w:ascii="宋体" w:hAnsi="宋体" w:cs="宋体"/>
          <w:sz w:val="30"/>
          <w:szCs w:val="30"/>
        </w:rPr>
        <w:t>药具配送、软件服务费及日常运行维护费</w:t>
      </w:r>
      <w:r>
        <w:rPr>
          <w:rFonts w:hint="eastAsia" w:ascii="仿宋_GB2312" w:hAnsi="黑体" w:eastAsia="仿宋_GB2312"/>
          <w:sz w:val="30"/>
          <w:szCs w:val="30"/>
        </w:rPr>
        <w:t xml:space="preserve">。 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（二）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年涉及政府采购项目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个，决算资金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（三）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年涉及政府购买服务项目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个，决算资金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（四）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年机关运行经费决算情况</w:t>
      </w:r>
      <w:r>
        <w:rPr>
          <w:rFonts w:ascii="仿宋_GB2312" w:hAnsi="黑体" w:eastAsia="仿宋_GB2312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年本部门（含下属单位）履行一般行政事业管理职能、维持机关运行，用于一般公共决算安排的行政运行经费，合计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21,151.30</w:t>
      </w:r>
      <w:r>
        <w:rPr>
          <w:rFonts w:hint="eastAsia" w:ascii="仿宋_GB2312" w:hAnsi="黑体" w:eastAsia="仿宋_GB2312"/>
          <w:sz w:val="30"/>
          <w:szCs w:val="30"/>
        </w:rPr>
        <w:t>元。比去年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增加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8,612.18</w:t>
      </w:r>
      <w:r>
        <w:rPr>
          <w:rFonts w:hint="eastAsia" w:ascii="仿宋_GB2312" w:hAnsi="黑体" w:eastAsia="仿宋_GB2312"/>
          <w:sz w:val="30"/>
          <w:szCs w:val="30"/>
        </w:rPr>
        <w:t>元。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机关运行经费是指本单位的公用经费，包括办公及印刷费、邮电费、差旅费、会议费、福利费、日常维修费、专用材料及一般设备购置费、办公用房水电费、办公用房取暖费、办公用房物业管理费、公务用车运行维护以及其他费用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（五）行政事业性收费重点项目信息</w:t>
      </w:r>
    </w:p>
    <w:p>
      <w:pPr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无此项目。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（六）绩效信息</w:t>
      </w:r>
    </w:p>
    <w:p>
      <w:pPr>
        <w:spacing w:line="360" w:lineRule="auto"/>
        <w:ind w:firstLine="1200" w:firstLineChars="400"/>
        <w:rPr>
          <w:rFonts w:hint="eastAsia" w:ascii="仿宋_GB2312" w:hAnsi="仿宋"/>
          <w:sz w:val="30"/>
          <w:szCs w:val="30"/>
          <w:lang w:eastAsia="zh-CN"/>
        </w:rPr>
      </w:pPr>
      <w:r>
        <w:rPr>
          <w:rFonts w:hint="eastAsia" w:ascii="仿宋_GB2312" w:hAnsi="仿宋"/>
          <w:sz w:val="30"/>
          <w:szCs w:val="30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四、“三公”经费财政拨款决算安排情况说明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（一）决算单位范围</w:t>
      </w:r>
    </w:p>
    <w:p>
      <w:pPr>
        <w:spacing w:line="52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北京市西城区计划生育药具管理站部门预算中因公出国（境）费、公务接待费、公务用车购置及运行维护费的支出单位包括1个所属单位，即北京市西城区计划生育药具管理站。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（二）关于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年部门决算中“三公”经费财政拨款决算支出情况的说明。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年“三公”经费财政拨款支出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元，比</w:t>
      </w:r>
      <w:r>
        <w:rPr>
          <w:rFonts w:hint="eastAsia" w:ascii="仿宋" w:hAnsi="仿宋" w:eastAsia="仿宋"/>
          <w:sz w:val="30"/>
          <w:szCs w:val="30"/>
          <w:lang w:eastAsia="zh-CN"/>
        </w:rPr>
        <w:t>2018</w:t>
      </w:r>
      <w:r>
        <w:rPr>
          <w:rFonts w:hint="eastAsia" w:ascii="仿宋" w:hAnsi="仿宋" w:eastAsia="仿宋"/>
          <w:sz w:val="30"/>
          <w:szCs w:val="30"/>
        </w:rPr>
        <w:t>年“三公”经费财政拨款年初预算</w:t>
      </w:r>
      <w:r>
        <w:rPr>
          <w:rFonts w:hint="eastAsia" w:ascii="仿宋" w:hAnsi="仿宋" w:eastAsia="仿宋"/>
          <w:sz w:val="30"/>
          <w:szCs w:val="30"/>
          <w:lang w:eastAsia="zh-CN"/>
        </w:rPr>
        <w:t>493.29</w:t>
      </w:r>
      <w:r>
        <w:rPr>
          <w:rFonts w:hint="eastAsia" w:ascii="仿宋" w:hAnsi="仿宋" w:eastAsia="仿宋"/>
          <w:sz w:val="30"/>
          <w:szCs w:val="30"/>
        </w:rPr>
        <w:t>元,</w:t>
      </w:r>
      <w:r>
        <w:rPr>
          <w:rFonts w:hint="eastAsia" w:ascii="仿宋" w:hAnsi="仿宋" w:eastAsia="仿宋"/>
          <w:sz w:val="30"/>
          <w:szCs w:val="30"/>
          <w:lang w:eastAsia="zh-CN"/>
        </w:rPr>
        <w:t>减少493.29</w:t>
      </w:r>
      <w:r>
        <w:rPr>
          <w:rFonts w:hint="eastAsia" w:ascii="仿宋" w:hAnsi="仿宋" w:eastAsia="仿宋"/>
          <w:sz w:val="30"/>
          <w:szCs w:val="30"/>
        </w:rPr>
        <w:t>元</w:t>
      </w:r>
      <w:r>
        <w:rPr>
          <w:rFonts w:hint="eastAsia" w:ascii="仿宋_GB2312" w:hAnsi="黑体" w:eastAsia="仿宋_GB2312"/>
          <w:sz w:val="30"/>
          <w:szCs w:val="30"/>
        </w:rPr>
        <w:t>，其中：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1.因公出国（境）费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2018</w:t>
      </w:r>
      <w:r>
        <w:rPr>
          <w:rFonts w:hint="eastAsia" w:ascii="仿宋_GB2312" w:eastAsia="仿宋_GB2312"/>
          <w:sz w:val="30"/>
          <w:szCs w:val="30"/>
        </w:rPr>
        <w:t>年财政拨款因公出国（境）费支出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因公出国（境）团组情况：本年度本单位使用公共预算财政拨款安排的出国（境）团组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个，参加其他单位组织的出国（境）团组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个；全年因公出国（境）累计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人次。我单位</w:t>
      </w:r>
      <w:r>
        <w:rPr>
          <w:rFonts w:hint="eastAsia" w:ascii="仿宋_GB2312" w:eastAsia="仿宋_GB2312"/>
          <w:sz w:val="30"/>
          <w:szCs w:val="30"/>
          <w:lang w:eastAsia="zh-CN"/>
        </w:rPr>
        <w:t>2018</w:t>
      </w:r>
      <w:r>
        <w:rPr>
          <w:rFonts w:hint="eastAsia" w:ascii="仿宋_GB2312" w:eastAsia="仿宋_GB2312"/>
          <w:sz w:val="30"/>
          <w:szCs w:val="30"/>
        </w:rPr>
        <w:t>年因公出国（境）费为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元，较</w:t>
      </w:r>
      <w:r>
        <w:rPr>
          <w:rFonts w:hint="eastAsia" w:ascii="仿宋_GB2312" w:eastAsia="仿宋_GB2312"/>
          <w:sz w:val="30"/>
          <w:szCs w:val="30"/>
          <w:lang w:eastAsia="zh-CN"/>
        </w:rPr>
        <w:t>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无变化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2017</w:t>
      </w:r>
      <w:r>
        <w:rPr>
          <w:rFonts w:hint="eastAsia" w:ascii="仿宋_GB2312" w:eastAsia="仿宋_GB2312"/>
          <w:sz w:val="30"/>
          <w:szCs w:val="30"/>
        </w:rPr>
        <w:t>年参加其他单位组织的出国（境）团组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个，全年因公出国（境）累计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人次，</w:t>
      </w:r>
      <w:r>
        <w:rPr>
          <w:rFonts w:hint="eastAsia" w:ascii="仿宋_GB2312" w:eastAsia="仿宋_GB2312"/>
          <w:sz w:val="30"/>
          <w:szCs w:val="30"/>
          <w:lang w:eastAsia="zh-CN"/>
        </w:rPr>
        <w:t>2018</w:t>
      </w:r>
      <w:r>
        <w:rPr>
          <w:rFonts w:hint="eastAsia" w:ascii="仿宋_GB2312" w:eastAsia="仿宋_GB2312"/>
          <w:sz w:val="30"/>
          <w:szCs w:val="30"/>
        </w:rPr>
        <w:t>年比</w:t>
      </w:r>
      <w:r>
        <w:rPr>
          <w:rFonts w:hint="eastAsia" w:ascii="仿宋_GB2312" w:eastAsia="仿宋_GB2312"/>
          <w:sz w:val="30"/>
          <w:szCs w:val="30"/>
          <w:lang w:eastAsia="zh-CN"/>
        </w:rPr>
        <w:t>2017</w:t>
      </w:r>
      <w:r>
        <w:rPr>
          <w:rFonts w:hint="eastAsia" w:ascii="仿宋_GB2312" w:eastAsia="仿宋_GB2312"/>
          <w:sz w:val="30"/>
          <w:szCs w:val="30"/>
        </w:rPr>
        <w:t>年因公出国（境）费</w:t>
      </w:r>
      <w:r>
        <w:rPr>
          <w:rFonts w:hint="eastAsia" w:ascii="仿宋_GB2312" w:eastAsia="仿宋_GB2312"/>
          <w:sz w:val="30"/>
          <w:szCs w:val="30"/>
          <w:lang w:eastAsia="zh-CN"/>
        </w:rPr>
        <w:t>无变化。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2.公务接待费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公共预算财政拨款支出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元，</w:t>
      </w:r>
      <w:r>
        <w:rPr>
          <w:rFonts w:hint="eastAsia" w:ascii="仿宋_GB2312" w:eastAsia="仿宋_GB2312"/>
          <w:sz w:val="30"/>
          <w:szCs w:val="30"/>
        </w:rPr>
        <w:t>本年度本单位使用公共预算财政拨款支出的国内公务接待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人次，共外事接待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人次，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2017</w:t>
      </w:r>
      <w:r>
        <w:rPr>
          <w:rFonts w:hint="eastAsia" w:ascii="仿宋_GB2312" w:hAnsi="黑体" w:eastAsia="仿宋_GB2312"/>
          <w:sz w:val="30"/>
          <w:szCs w:val="30"/>
        </w:rPr>
        <w:t>年财政拨款决算支出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元，比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2017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无变化</w:t>
      </w:r>
      <w:r>
        <w:rPr>
          <w:rFonts w:hint="eastAsia" w:ascii="仿宋_GB2312" w:hAnsi="黑体" w:eastAsia="仿宋_GB2312"/>
          <w:sz w:val="30"/>
          <w:szCs w:val="30"/>
        </w:rPr>
        <w:t xml:space="preserve">。   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3.公务用车购置及运行维护费</w:t>
      </w:r>
    </w:p>
    <w:p>
      <w:pPr>
        <w:spacing w:line="56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eastAsia="zh-CN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年公务用车数量为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辆，</w:t>
      </w:r>
      <w:r>
        <w:rPr>
          <w:rFonts w:hint="eastAsia" w:ascii="仿宋_GB2312" w:eastAsia="仿宋_GB2312"/>
          <w:sz w:val="30"/>
          <w:szCs w:val="30"/>
        </w:rPr>
        <w:t>财政拨款公务用车购置及运行维护费支出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元，其中公务用车购置费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元，公务用车运行维护费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元。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2017</w:t>
      </w:r>
      <w:r>
        <w:rPr>
          <w:rFonts w:hint="eastAsia" w:ascii="仿宋_GB2312" w:hAnsi="黑体" w:eastAsia="仿宋_GB2312"/>
          <w:sz w:val="30"/>
          <w:szCs w:val="30"/>
        </w:rPr>
        <w:t>年财政拨款</w:t>
      </w:r>
      <w:r>
        <w:rPr>
          <w:rFonts w:hint="eastAsia" w:ascii="仿宋_GB2312" w:eastAsia="仿宋_GB2312"/>
          <w:sz w:val="30"/>
          <w:szCs w:val="30"/>
        </w:rPr>
        <w:t>支出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黑体" w:eastAsia="仿宋_GB2312"/>
          <w:sz w:val="30"/>
          <w:szCs w:val="30"/>
        </w:rPr>
        <w:t>元，比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2017</w:t>
      </w: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无变化</w:t>
      </w:r>
      <w:r>
        <w:rPr>
          <w:rFonts w:hint="eastAsia" w:ascii="仿宋_GB2312" w:hAnsi="黑体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政府性基金决算财政拨款收入、支出全为零。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eastAsia="黑体" w:cs="黑体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截止</w:t>
      </w:r>
      <w:r>
        <w:rPr>
          <w:rFonts w:hint="eastAsia" w:ascii="黑体" w:eastAsia="黑体" w:cs="黑体"/>
          <w:sz w:val="32"/>
          <w:szCs w:val="32"/>
          <w:lang w:eastAsia="zh-CN"/>
        </w:rPr>
        <w:t>2018</w:t>
      </w:r>
      <w:r>
        <w:rPr>
          <w:rFonts w:hint="eastAsia" w:ascii="黑体" w:eastAsia="黑体" w:cs="黑体"/>
          <w:sz w:val="32"/>
          <w:szCs w:val="32"/>
        </w:rPr>
        <w:t>年12月31日，我系统占用固定资产总额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2205</w:t>
      </w:r>
      <w:r>
        <w:rPr>
          <w:rFonts w:hint="eastAsia" w:ascii="黑体" w:eastAsia="黑体" w:cs="黑体"/>
          <w:sz w:val="32"/>
          <w:szCs w:val="32"/>
        </w:rPr>
        <w:t>元。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eastAsia="黑体" w:cs="黑体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eastAsia="黑体" w:cs="黑体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eastAsia="黑体" w:cs="黑体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eastAsia="黑体" w:cs="黑体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 xml:space="preserve">第二部分  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2018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年部门决算表</w:t>
      </w:r>
    </w:p>
    <w:p>
      <w:pPr>
        <w:spacing w:line="520" w:lineRule="exact"/>
        <w:ind w:firstLine="442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表一：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部门收支总体情况表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单位：北京市西城区计划生育药具管理站 　　　　　　　　　             　      单位：元</w:t>
      </w:r>
    </w:p>
    <w:tbl>
      <w:tblPr>
        <w:tblStyle w:val="10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80"/>
        <w:gridCol w:w="258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财政专户资金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其他财政专户收入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事业收入（不含事业单位决算外资金）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102,495.84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535,694.18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56,229.00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结余分配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年初结转和结余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年末结转和结余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表二：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部门收入总体情况表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单位：北京市西城区计划生育药具管理站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　　  　　　　　　　　　　　　　　　　　　　　　　　　　　　　　　　　　               单位：元</w:t>
      </w:r>
    </w:p>
    <w:tbl>
      <w:tblPr>
        <w:tblStyle w:val="10"/>
        <w:tblW w:w="1417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78"/>
        <w:gridCol w:w="1721"/>
        <w:gridCol w:w="700"/>
        <w:gridCol w:w="1712"/>
        <w:gridCol w:w="692"/>
        <w:gridCol w:w="692"/>
        <w:gridCol w:w="1953"/>
        <w:gridCol w:w="692"/>
        <w:gridCol w:w="692"/>
        <w:gridCol w:w="1162"/>
        <w:gridCol w:w="12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一般公共决算拨款收入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政府性基金决算拨款收入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2080501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38,760.00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38,760.00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36,420.48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36,420.48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27,315.36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27,315.36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计划生育支出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535,694.18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535,694.18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医疗卫生与计划生育管理事务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其他医疗卫生与计划生育管理事务支出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38,229.00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38,229.00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18,000.00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18,000.00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表三：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部门支出总体情况表</w:t>
      </w:r>
    </w:p>
    <w:p>
      <w:pPr>
        <w:spacing w:line="520" w:lineRule="exact"/>
        <w:ind w:right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单位：北京市西城区计划生育药具管理站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10"/>
        <w:tblW w:w="1387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806"/>
        <w:gridCol w:w="1835"/>
        <w:gridCol w:w="2018"/>
        <w:gridCol w:w="1926"/>
        <w:gridCol w:w="1116"/>
        <w:gridCol w:w="1566"/>
        <w:gridCol w:w="1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2080501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38,760.00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38,760.00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36,420.48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36,420.48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27,315.36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27,315.36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535,694.18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487,697.58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医疗卫生与计划生育管理事务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其他医疗卫生与计划生育管理事务支出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38,229.00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38,229.00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18,000.00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18,000.00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646,422.42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表四：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财政拨款收支总体情况表</w:t>
      </w:r>
    </w:p>
    <w:p>
      <w:pPr>
        <w:spacing w:line="520" w:lineRule="exact"/>
        <w:ind w:left="-1134" w:leftChars="-5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单位：北京市西城区计划生育药具管理站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10"/>
        <w:tblW w:w="10213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5"/>
        <w:gridCol w:w="2968"/>
        <w:gridCol w:w="2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694,419.02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694,419.02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694,419.02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（七）社会保障和就业支出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102,495.84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（八）医疗卫生与计划生育支出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535,694.18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（九）节能环保支出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（十）住房保障支出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56,229.00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694,419.02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694,419.02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表五：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一般公共预算支出情况表</w:t>
      </w:r>
    </w:p>
    <w:p>
      <w:pPr>
        <w:spacing w:line="520" w:lineRule="exact"/>
        <w:ind w:left="-850" w:leftChars="-40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单位：北京市西城区计划生育药具管理站                                                 单位：元</w:t>
      </w:r>
    </w:p>
    <w:tbl>
      <w:tblPr>
        <w:tblStyle w:val="10"/>
        <w:tblW w:w="10346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08"/>
        <w:gridCol w:w="2127"/>
        <w:gridCol w:w="2195"/>
        <w:gridCol w:w="21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102,495.84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2080501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38,760.00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38,760.00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36,420.48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36,420.48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27,315.36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27,315.36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535,694.18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487,697.58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医疗卫生与计划生育管理事务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其他医疗卫生与计划生育管理事务支出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447,312.82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40,384.76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56,229.00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38,229.00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38,229.00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18,000.00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18,000.00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694,419.02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646,422.42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47,996.60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表六：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一般公共预算基本支出情况表</w:t>
      </w:r>
    </w:p>
    <w:p>
      <w:pPr>
        <w:spacing w:line="520" w:lineRule="exact"/>
        <w:ind w:left="-283" w:leftChars="-13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　　　　　　　单位：北京市西城区计划生育药具管理站     　　　 　　　                                                        单位：元</w:t>
      </w:r>
    </w:p>
    <w:tbl>
      <w:tblPr>
        <w:tblStyle w:val="10"/>
        <w:tblW w:w="12105" w:type="dxa"/>
        <w:tblInd w:w="9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11"/>
        <w:gridCol w:w="3019"/>
        <w:gridCol w:w="3019"/>
        <w:gridCol w:w="1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586,511.12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586,511.12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86,640.00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86,640.00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229,705.00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229,705.00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30107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124,710.00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124,710.00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36,420.48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36,420.48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30109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27,315.36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27,315.36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职工基本医疗保险缴费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40,384.76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40,384.76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3,106.52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3,106.52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38,229.00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38,229.00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21,151.30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21,151.30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4,098.00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4,098.00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6,985.20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6,985.20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3,160.00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3,160.00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6,908.10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6,908.10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38,760.00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38,760.00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37,760.00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37,760.00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30309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1,000.00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1,000.00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646,422.42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625,271.12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21,151.30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表七：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一般公共预算“三公”经费支出情况表</w:t>
      </w:r>
    </w:p>
    <w:p>
      <w:pPr>
        <w:spacing w:line="520" w:lineRule="exact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单位：北京市西城区计划生育药具管理站                                    单位：元</w:t>
      </w:r>
    </w:p>
    <w:tbl>
      <w:tblPr>
        <w:tblStyle w:val="10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2260"/>
        <w:gridCol w:w="2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20" w:lineRule="exact"/>
        <w:ind w:firstLine="360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无此项支出</w:t>
      </w: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表八：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政府性基金预算支出情况表</w:t>
      </w:r>
    </w:p>
    <w:p>
      <w:pPr>
        <w:spacing w:line="520" w:lineRule="exact"/>
        <w:ind w:right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单位：北京市西城区计划生育药具管理站 　                                                                         单位：元</w:t>
      </w:r>
    </w:p>
    <w:tbl>
      <w:tblPr>
        <w:tblStyle w:val="10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ind w:firstLine="360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无此项支出</w:t>
      </w: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10"/>
        <w:tblW w:w="135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44"/>
        <w:gridCol w:w="2233"/>
        <w:gridCol w:w="2233"/>
        <w:gridCol w:w="2233"/>
        <w:gridCol w:w="1782"/>
        <w:gridCol w:w="1863"/>
        <w:gridCol w:w="1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 xml:space="preserve">表9: </w:t>
            </w:r>
            <w:r>
              <w:rPr>
                <w:rFonts w:hint="eastAsia" w:ascii="宋体" w:hAnsi="宋体" w:cs="Arial"/>
                <w:b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lang w:eastAsia="zh-CN"/>
              </w:rPr>
              <w:t>2018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</w:rPr>
              <w:t>年政府采购情况表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单位名称: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北京市西城区计划生育药具管理站 </w:t>
            </w:r>
            <w:r>
              <w:rPr>
                <w:rFonts w:hint="eastAsia" w:ascii="宋体" w:hAnsi="宋体" w:cs="Arial"/>
                <w:color w:val="000000"/>
                <w:kern w:val="0"/>
              </w:rPr>
              <w:t xml:space="preserve">                                               单位:元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项目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行次</w:t>
            </w:r>
          </w:p>
        </w:tc>
        <w:tc>
          <w:tcPr>
            <w:tcW w:w="116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采购金额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总计</w:t>
            </w: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在采购预算(财政性资金)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非财政性资金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合计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一般公共预算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政府性基金预算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其他资金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栏次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合      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货物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工程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服务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</w:tbl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无此项支出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61C"/>
    <w:multiLevelType w:val="singleLevel"/>
    <w:tmpl w:val="017636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1D15E6"/>
    <w:multiLevelType w:val="singleLevel"/>
    <w:tmpl w:val="681D15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4DFD71"/>
    <w:multiLevelType w:val="singleLevel"/>
    <w:tmpl w:val="724DFD7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FD3"/>
    <w:rsid w:val="0001227E"/>
    <w:rsid w:val="0002050C"/>
    <w:rsid w:val="00065B5B"/>
    <w:rsid w:val="000778A5"/>
    <w:rsid w:val="000809EA"/>
    <w:rsid w:val="00081EEB"/>
    <w:rsid w:val="00090DC1"/>
    <w:rsid w:val="0009610F"/>
    <w:rsid w:val="000B39D6"/>
    <w:rsid w:val="000B6A6B"/>
    <w:rsid w:val="000C6308"/>
    <w:rsid w:val="000D257E"/>
    <w:rsid w:val="000D7965"/>
    <w:rsid w:val="000E785B"/>
    <w:rsid w:val="00104DA5"/>
    <w:rsid w:val="0011744A"/>
    <w:rsid w:val="0012454A"/>
    <w:rsid w:val="001313D0"/>
    <w:rsid w:val="001453D3"/>
    <w:rsid w:val="00146DA2"/>
    <w:rsid w:val="00152C69"/>
    <w:rsid w:val="001567BB"/>
    <w:rsid w:val="00170AC8"/>
    <w:rsid w:val="001728B2"/>
    <w:rsid w:val="001A6A57"/>
    <w:rsid w:val="001B5F99"/>
    <w:rsid w:val="001B7529"/>
    <w:rsid w:val="001B7997"/>
    <w:rsid w:val="001C7AA2"/>
    <w:rsid w:val="001D0881"/>
    <w:rsid w:val="001D2B61"/>
    <w:rsid w:val="001F1FD3"/>
    <w:rsid w:val="00211D0F"/>
    <w:rsid w:val="00216F27"/>
    <w:rsid w:val="00241441"/>
    <w:rsid w:val="00250786"/>
    <w:rsid w:val="00270632"/>
    <w:rsid w:val="002811F4"/>
    <w:rsid w:val="002B4111"/>
    <w:rsid w:val="002C1F0C"/>
    <w:rsid w:val="002C588B"/>
    <w:rsid w:val="00317C7F"/>
    <w:rsid w:val="003204AF"/>
    <w:rsid w:val="00363D4C"/>
    <w:rsid w:val="0037792A"/>
    <w:rsid w:val="00392B75"/>
    <w:rsid w:val="0039561A"/>
    <w:rsid w:val="003A2C49"/>
    <w:rsid w:val="003A5284"/>
    <w:rsid w:val="003B51BF"/>
    <w:rsid w:val="003D2E89"/>
    <w:rsid w:val="003F367D"/>
    <w:rsid w:val="00403A91"/>
    <w:rsid w:val="00426B0B"/>
    <w:rsid w:val="00441893"/>
    <w:rsid w:val="00446E7D"/>
    <w:rsid w:val="0049725E"/>
    <w:rsid w:val="004B0F13"/>
    <w:rsid w:val="004B20A3"/>
    <w:rsid w:val="004B4EA7"/>
    <w:rsid w:val="004D0E98"/>
    <w:rsid w:val="004D684F"/>
    <w:rsid w:val="004E1935"/>
    <w:rsid w:val="005065A3"/>
    <w:rsid w:val="00506F4A"/>
    <w:rsid w:val="00522420"/>
    <w:rsid w:val="005444AF"/>
    <w:rsid w:val="00553CB6"/>
    <w:rsid w:val="00556D1D"/>
    <w:rsid w:val="00571A6A"/>
    <w:rsid w:val="00583737"/>
    <w:rsid w:val="0059014A"/>
    <w:rsid w:val="00592E9C"/>
    <w:rsid w:val="005B46BA"/>
    <w:rsid w:val="005D1A38"/>
    <w:rsid w:val="005F345C"/>
    <w:rsid w:val="006008AB"/>
    <w:rsid w:val="00605AF3"/>
    <w:rsid w:val="00622F47"/>
    <w:rsid w:val="006406A8"/>
    <w:rsid w:val="00654E82"/>
    <w:rsid w:val="006620E8"/>
    <w:rsid w:val="006703F3"/>
    <w:rsid w:val="00686A35"/>
    <w:rsid w:val="00686F32"/>
    <w:rsid w:val="006A0B47"/>
    <w:rsid w:val="006A1A38"/>
    <w:rsid w:val="006D301F"/>
    <w:rsid w:val="006D4C1E"/>
    <w:rsid w:val="006E72A9"/>
    <w:rsid w:val="007074E0"/>
    <w:rsid w:val="007157F1"/>
    <w:rsid w:val="00726FFC"/>
    <w:rsid w:val="00740AF3"/>
    <w:rsid w:val="0074641B"/>
    <w:rsid w:val="00746DE9"/>
    <w:rsid w:val="0075349D"/>
    <w:rsid w:val="00776627"/>
    <w:rsid w:val="0078564C"/>
    <w:rsid w:val="00794C49"/>
    <w:rsid w:val="0079557D"/>
    <w:rsid w:val="007A5BAF"/>
    <w:rsid w:val="007B5856"/>
    <w:rsid w:val="007C6F16"/>
    <w:rsid w:val="007E7314"/>
    <w:rsid w:val="007F25A4"/>
    <w:rsid w:val="00824432"/>
    <w:rsid w:val="00824DD4"/>
    <w:rsid w:val="00840DAE"/>
    <w:rsid w:val="00850F8A"/>
    <w:rsid w:val="00854352"/>
    <w:rsid w:val="008728D7"/>
    <w:rsid w:val="008757EF"/>
    <w:rsid w:val="008761B7"/>
    <w:rsid w:val="008A18B7"/>
    <w:rsid w:val="008B63A6"/>
    <w:rsid w:val="008B7C31"/>
    <w:rsid w:val="008E2133"/>
    <w:rsid w:val="008E6226"/>
    <w:rsid w:val="008E6326"/>
    <w:rsid w:val="008F3353"/>
    <w:rsid w:val="00913FBA"/>
    <w:rsid w:val="009361BE"/>
    <w:rsid w:val="00941E41"/>
    <w:rsid w:val="00943581"/>
    <w:rsid w:val="0094515F"/>
    <w:rsid w:val="00946BE6"/>
    <w:rsid w:val="009541E7"/>
    <w:rsid w:val="00954C25"/>
    <w:rsid w:val="00955D4C"/>
    <w:rsid w:val="0099582E"/>
    <w:rsid w:val="009C3493"/>
    <w:rsid w:val="009C7E1C"/>
    <w:rsid w:val="009D19A5"/>
    <w:rsid w:val="009D2591"/>
    <w:rsid w:val="009D3B4D"/>
    <w:rsid w:val="009E3872"/>
    <w:rsid w:val="009F423A"/>
    <w:rsid w:val="00A10CE4"/>
    <w:rsid w:val="00A1287F"/>
    <w:rsid w:val="00A274E4"/>
    <w:rsid w:val="00A44A0C"/>
    <w:rsid w:val="00A667AD"/>
    <w:rsid w:val="00A87CAA"/>
    <w:rsid w:val="00A9513C"/>
    <w:rsid w:val="00A978D4"/>
    <w:rsid w:val="00AB0CAD"/>
    <w:rsid w:val="00AB6716"/>
    <w:rsid w:val="00AC301D"/>
    <w:rsid w:val="00AE369B"/>
    <w:rsid w:val="00AE5441"/>
    <w:rsid w:val="00AE6582"/>
    <w:rsid w:val="00B17743"/>
    <w:rsid w:val="00B2133F"/>
    <w:rsid w:val="00B40323"/>
    <w:rsid w:val="00B85BE8"/>
    <w:rsid w:val="00BB0599"/>
    <w:rsid w:val="00BB7561"/>
    <w:rsid w:val="00BD6D58"/>
    <w:rsid w:val="00BF2710"/>
    <w:rsid w:val="00C06E41"/>
    <w:rsid w:val="00C2573A"/>
    <w:rsid w:val="00C40498"/>
    <w:rsid w:val="00C56C3F"/>
    <w:rsid w:val="00C62BA2"/>
    <w:rsid w:val="00C7066B"/>
    <w:rsid w:val="00C728F9"/>
    <w:rsid w:val="00C76799"/>
    <w:rsid w:val="00C777D8"/>
    <w:rsid w:val="00C778CD"/>
    <w:rsid w:val="00C81A8A"/>
    <w:rsid w:val="00C96AF4"/>
    <w:rsid w:val="00CA7AB1"/>
    <w:rsid w:val="00CB108C"/>
    <w:rsid w:val="00CF1FAE"/>
    <w:rsid w:val="00D21430"/>
    <w:rsid w:val="00D24FA7"/>
    <w:rsid w:val="00D647AB"/>
    <w:rsid w:val="00D701F3"/>
    <w:rsid w:val="00D84F77"/>
    <w:rsid w:val="00D92894"/>
    <w:rsid w:val="00D943B9"/>
    <w:rsid w:val="00DD5AFB"/>
    <w:rsid w:val="00DF0FA8"/>
    <w:rsid w:val="00DF6808"/>
    <w:rsid w:val="00DF7F8D"/>
    <w:rsid w:val="00E026DE"/>
    <w:rsid w:val="00E071A2"/>
    <w:rsid w:val="00E16604"/>
    <w:rsid w:val="00E54997"/>
    <w:rsid w:val="00E54BAA"/>
    <w:rsid w:val="00E65FAA"/>
    <w:rsid w:val="00E92BDF"/>
    <w:rsid w:val="00ED2F90"/>
    <w:rsid w:val="00EF2A79"/>
    <w:rsid w:val="00F05D86"/>
    <w:rsid w:val="00F14E3A"/>
    <w:rsid w:val="00F24A15"/>
    <w:rsid w:val="00F30FBC"/>
    <w:rsid w:val="00F336BF"/>
    <w:rsid w:val="00F41E6E"/>
    <w:rsid w:val="00F520FC"/>
    <w:rsid w:val="00F53A7A"/>
    <w:rsid w:val="00F5768B"/>
    <w:rsid w:val="00F67F80"/>
    <w:rsid w:val="00FC7EF6"/>
    <w:rsid w:val="00FF2326"/>
    <w:rsid w:val="0671573F"/>
    <w:rsid w:val="096654DF"/>
    <w:rsid w:val="1029204D"/>
    <w:rsid w:val="16773DF0"/>
    <w:rsid w:val="40C31331"/>
    <w:rsid w:val="473837D4"/>
    <w:rsid w:val="4A6C70D8"/>
    <w:rsid w:val="535A46A7"/>
    <w:rsid w:val="54027DA3"/>
    <w:rsid w:val="77291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unhideWhenUsed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页脚 Char"/>
    <w:link w:val="4"/>
    <w:uiPriority w:val="99"/>
    <w:rPr>
      <w:sz w:val="18"/>
      <w:szCs w:val="18"/>
    </w:rPr>
  </w:style>
  <w:style w:type="character" w:customStyle="1" w:styleId="24">
    <w:name w:val="页眉 Char"/>
    <w:link w:val="5"/>
    <w:uiPriority w:val="99"/>
    <w:rPr>
      <w:sz w:val="18"/>
      <w:szCs w:val="18"/>
    </w:rPr>
  </w:style>
  <w:style w:type="character" w:customStyle="1" w:styleId="25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CXN.oem</Company>
  <Pages>22</Pages>
  <Words>1187</Words>
  <Characters>6769</Characters>
  <Lines>56</Lines>
  <Paragraphs>15</Paragraphs>
  <TotalTime>34</TotalTime>
  <ScaleCrop>false</ScaleCrop>
  <LinksUpToDate>false</LinksUpToDate>
  <CharactersWithSpaces>7941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2018-02-09T06:18:00Z</dcterms:created>
  <dc:creator>OEM</dc:creator>
  <cp:lastModifiedBy>delldell</cp:lastModifiedBy>
  <cp:lastPrinted>2018-02-09T02:07:00Z</cp:lastPrinted>
  <dcterms:modified xsi:type="dcterms:W3CDTF">2019-08-30T08:37:00Z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