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23" w:rsidRPr="00C67023" w:rsidRDefault="00C67023" w:rsidP="00C67023">
      <w:pPr>
        <w:widowControl/>
        <w:jc w:val="center"/>
        <w:rPr>
          <w:rFonts w:ascii="ˎ̥" w:eastAsia="宋体" w:hAnsi="ˎ̥" w:cs="宋体"/>
          <w:kern w:val="0"/>
          <w:sz w:val="20"/>
          <w:szCs w:val="20"/>
        </w:rPr>
      </w:pPr>
      <w:r w:rsidRPr="00C67023">
        <w:rPr>
          <w:rFonts w:ascii="ˎ̥" w:eastAsia="宋体" w:hAnsi="ˎ̥" w:cs="宋体"/>
          <w:kern w:val="0"/>
          <w:sz w:val="20"/>
          <w:szCs w:val="20"/>
        </w:rPr>
        <w:t>2016</w:t>
      </w:r>
      <w:r w:rsidRPr="00C67023">
        <w:rPr>
          <w:rFonts w:ascii="ˎ̥" w:eastAsia="宋体" w:hAnsi="ˎ̥" w:cs="宋体"/>
          <w:kern w:val="0"/>
          <w:sz w:val="20"/>
          <w:szCs w:val="20"/>
        </w:rPr>
        <w:t>年</w:t>
      </w:r>
      <w:r w:rsidRPr="00C67023">
        <w:rPr>
          <w:rFonts w:ascii="ˎ̥" w:eastAsia="宋体" w:hAnsi="ˎ̥" w:cs="宋体"/>
          <w:kern w:val="0"/>
          <w:sz w:val="20"/>
          <w:szCs w:val="20"/>
        </w:rPr>
        <w:t>3</w:t>
      </w:r>
      <w:r w:rsidRPr="00C67023">
        <w:rPr>
          <w:rFonts w:ascii="ˎ̥" w:eastAsia="宋体" w:hAnsi="ˎ̥" w:cs="宋体"/>
          <w:kern w:val="0"/>
          <w:sz w:val="20"/>
          <w:szCs w:val="20"/>
        </w:rPr>
        <w:t>月</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w:t>
      </w:r>
    </w:p>
    <w:p w:rsidR="00C67023" w:rsidRPr="00C67023" w:rsidRDefault="00C67023" w:rsidP="00C67023">
      <w:pPr>
        <w:widowControl/>
        <w:jc w:val="center"/>
        <w:rPr>
          <w:rFonts w:ascii="ˎ̥" w:eastAsia="宋体" w:hAnsi="ˎ̥" w:cs="宋体"/>
          <w:kern w:val="0"/>
          <w:sz w:val="20"/>
          <w:szCs w:val="20"/>
        </w:rPr>
      </w:pPr>
      <w:r w:rsidRPr="00C67023">
        <w:rPr>
          <w:rFonts w:ascii="ˎ̥" w:eastAsia="宋体" w:hAnsi="ˎ̥" w:cs="宋体"/>
          <w:kern w:val="0"/>
          <w:sz w:val="20"/>
          <w:szCs w:val="20"/>
        </w:rPr>
        <w:t>引言</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本报告是根据《中华人民共和国政府信息公开条例》（以下简称《条例》）要求，由西城区社会建设工作办公室编制的</w:t>
      </w:r>
      <w:r w:rsidRPr="00C67023">
        <w:rPr>
          <w:rFonts w:ascii="ˎ̥" w:eastAsia="宋体" w:hAnsi="ˎ̥" w:cs="宋体"/>
          <w:kern w:val="0"/>
          <w:sz w:val="20"/>
          <w:szCs w:val="20"/>
        </w:rPr>
        <w:t>2015</w:t>
      </w:r>
      <w:r w:rsidRPr="00C67023">
        <w:rPr>
          <w:rFonts w:ascii="ˎ̥" w:eastAsia="宋体" w:hAnsi="ˎ̥" w:cs="宋体"/>
          <w:kern w:val="0"/>
          <w:sz w:val="20"/>
          <w:szCs w:val="20"/>
        </w:rPr>
        <w:t>年度政府信息公开工作年度报告。</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全文包括概述，主动公开政府信息的情况，依申请公开政府信息和不予公开政府信息的情况，政府信息公开的人员、收费及减免情况，政府信息公开咨询情况，因政府信息公开申请行政复议、提起行政诉讼的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区政府网站（</w:t>
      </w:r>
      <w:hyperlink r:id="rId6" w:history="1">
        <w:r w:rsidRPr="00C67023">
          <w:rPr>
            <w:rFonts w:ascii="ˎ̥" w:eastAsia="宋体" w:hAnsi="ˎ̥" w:cs="宋体"/>
            <w:color w:val="000000"/>
            <w:kern w:val="0"/>
            <w:sz w:val="20"/>
          </w:rPr>
          <w:t>http://www.bjxch.gov.cn</w:t>
        </w:r>
      </w:hyperlink>
      <w:r w:rsidRPr="00C67023">
        <w:rPr>
          <w:rFonts w:ascii="ˎ̥" w:eastAsia="宋体" w:hAnsi="ˎ̥" w:cs="宋体"/>
          <w:kern w:val="0"/>
          <w:sz w:val="20"/>
          <w:szCs w:val="20"/>
        </w:rPr>
        <w:t>）政府信息公开专栏上可下载本报告的电子版。如对本报告有任何疑问，请联系：西城区社会办办公室，电话</w:t>
      </w:r>
      <w:r w:rsidRPr="00C67023">
        <w:rPr>
          <w:rFonts w:ascii="ˎ̥" w:eastAsia="宋体" w:hAnsi="ˎ̥" w:cs="宋体"/>
          <w:kern w:val="0"/>
          <w:sz w:val="20"/>
          <w:szCs w:val="20"/>
        </w:rPr>
        <w:t>82141123</w:t>
      </w:r>
      <w:r w:rsidRPr="00C67023">
        <w:rPr>
          <w:rFonts w:ascii="ˎ̥" w:eastAsia="宋体" w:hAnsi="ˎ̥" w:cs="宋体"/>
          <w:kern w:val="0"/>
          <w:sz w:val="20"/>
          <w:szCs w:val="20"/>
        </w:rPr>
        <w:t>。</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一、概述</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根据《条例》要求，</w:t>
      </w:r>
      <w:r w:rsidRPr="00C67023">
        <w:rPr>
          <w:rFonts w:ascii="ˎ̥" w:eastAsia="宋体" w:hAnsi="ˎ̥" w:cs="宋体"/>
          <w:kern w:val="0"/>
          <w:sz w:val="20"/>
          <w:szCs w:val="20"/>
        </w:rPr>
        <w:t>2009</w:t>
      </w:r>
      <w:r w:rsidRPr="00C67023">
        <w:rPr>
          <w:rFonts w:ascii="ˎ̥" w:eastAsia="宋体" w:hAnsi="ˎ̥" w:cs="宋体"/>
          <w:kern w:val="0"/>
          <w:sz w:val="20"/>
          <w:szCs w:val="20"/>
        </w:rPr>
        <w:t>年</w:t>
      </w:r>
      <w:r w:rsidRPr="00C67023">
        <w:rPr>
          <w:rFonts w:ascii="ˎ̥" w:eastAsia="宋体" w:hAnsi="ˎ̥" w:cs="宋体"/>
          <w:kern w:val="0"/>
          <w:sz w:val="20"/>
          <w:szCs w:val="20"/>
        </w:rPr>
        <w:t>4</w:t>
      </w:r>
      <w:r w:rsidRPr="00C67023">
        <w:rPr>
          <w:rFonts w:ascii="ˎ̥" w:eastAsia="宋体" w:hAnsi="ˎ̥" w:cs="宋体"/>
          <w:kern w:val="0"/>
          <w:sz w:val="20"/>
          <w:szCs w:val="20"/>
        </w:rPr>
        <w:t>月</w:t>
      </w:r>
      <w:r w:rsidRPr="00C67023">
        <w:rPr>
          <w:rFonts w:ascii="ˎ̥" w:eastAsia="宋体" w:hAnsi="ˎ̥" w:cs="宋体"/>
          <w:kern w:val="0"/>
          <w:sz w:val="20"/>
          <w:szCs w:val="20"/>
        </w:rPr>
        <w:t>1</w:t>
      </w:r>
      <w:r w:rsidRPr="00C67023">
        <w:rPr>
          <w:rFonts w:ascii="ˎ̥" w:eastAsia="宋体" w:hAnsi="ˎ̥" w:cs="宋体"/>
          <w:kern w:val="0"/>
          <w:sz w:val="20"/>
          <w:szCs w:val="20"/>
        </w:rPr>
        <w:t>日起，本单位开始开展政府信息公开工作。为此，专门配备了</w:t>
      </w:r>
      <w:r w:rsidRPr="00C67023">
        <w:rPr>
          <w:rFonts w:ascii="ˎ̥" w:eastAsia="宋体" w:hAnsi="ˎ̥" w:cs="宋体"/>
          <w:kern w:val="0"/>
          <w:sz w:val="20"/>
          <w:szCs w:val="20"/>
        </w:rPr>
        <w:t>1</w:t>
      </w:r>
      <w:r w:rsidRPr="00C67023">
        <w:rPr>
          <w:rFonts w:ascii="ˎ̥" w:eastAsia="宋体" w:hAnsi="ˎ̥" w:cs="宋体"/>
          <w:kern w:val="0"/>
          <w:sz w:val="20"/>
          <w:szCs w:val="20"/>
        </w:rPr>
        <w:t>名兼职工作人员，设立了</w:t>
      </w:r>
      <w:r w:rsidRPr="00C67023">
        <w:rPr>
          <w:rFonts w:ascii="ˎ̥" w:eastAsia="宋体" w:hAnsi="ˎ̥" w:cs="宋体"/>
          <w:kern w:val="0"/>
          <w:sz w:val="20"/>
          <w:szCs w:val="20"/>
        </w:rPr>
        <w:t>1</w:t>
      </w:r>
      <w:r w:rsidRPr="00C67023">
        <w:rPr>
          <w:rFonts w:ascii="ˎ̥" w:eastAsia="宋体" w:hAnsi="ˎ̥" w:cs="宋体"/>
          <w:kern w:val="0"/>
          <w:sz w:val="20"/>
          <w:szCs w:val="20"/>
        </w:rPr>
        <w:t>个专门的信息申请受理点。截至</w:t>
      </w:r>
      <w:r w:rsidRPr="00C67023">
        <w:rPr>
          <w:rFonts w:ascii="ˎ̥" w:eastAsia="宋体" w:hAnsi="ˎ̥" w:cs="宋体"/>
          <w:kern w:val="0"/>
          <w:sz w:val="20"/>
          <w:szCs w:val="20"/>
        </w:rPr>
        <w:t>2015</w:t>
      </w:r>
      <w:r w:rsidRPr="00C67023">
        <w:rPr>
          <w:rFonts w:ascii="ˎ̥" w:eastAsia="宋体" w:hAnsi="ˎ̥" w:cs="宋体"/>
          <w:kern w:val="0"/>
          <w:sz w:val="20"/>
          <w:szCs w:val="20"/>
        </w:rPr>
        <w:t>年底，本单位政府信息公开工作运行正常，顺利开展。</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2015</w:t>
      </w:r>
      <w:r w:rsidRPr="00C67023">
        <w:rPr>
          <w:rFonts w:ascii="ˎ̥" w:eastAsia="宋体" w:hAnsi="ˎ̥" w:cs="宋体"/>
          <w:kern w:val="0"/>
          <w:sz w:val="20"/>
          <w:szCs w:val="20"/>
        </w:rPr>
        <w:t>年度，在区政府信息公开办公室的业务指导下，在单位领导的重视和领导下，本单位政府信息公开工作稳步开展，顺利推进。本年度，未产生以社会办名义发布的正式文件。在主动公开方面，全年共发布法规文件信息</w:t>
      </w:r>
      <w:r w:rsidRPr="00C67023">
        <w:rPr>
          <w:rFonts w:ascii="ˎ̥" w:eastAsia="宋体" w:hAnsi="ˎ̥" w:cs="宋体"/>
          <w:kern w:val="0"/>
          <w:sz w:val="20"/>
          <w:szCs w:val="20"/>
        </w:rPr>
        <w:t>1</w:t>
      </w:r>
      <w:r w:rsidRPr="00C67023">
        <w:rPr>
          <w:rFonts w:ascii="ˎ̥" w:eastAsia="宋体" w:hAnsi="ˎ̥" w:cs="宋体"/>
          <w:kern w:val="0"/>
          <w:sz w:val="20"/>
          <w:szCs w:val="20"/>
        </w:rPr>
        <w:t>条、规划计划信息</w:t>
      </w:r>
      <w:r w:rsidRPr="00C67023">
        <w:rPr>
          <w:rFonts w:ascii="ˎ̥" w:eastAsia="宋体" w:hAnsi="ˎ̥" w:cs="宋体"/>
          <w:kern w:val="0"/>
          <w:sz w:val="20"/>
          <w:szCs w:val="20"/>
        </w:rPr>
        <w:t>1</w:t>
      </w:r>
      <w:r w:rsidRPr="00C67023">
        <w:rPr>
          <w:rFonts w:ascii="ˎ̥" w:eastAsia="宋体" w:hAnsi="ˎ̥" w:cs="宋体"/>
          <w:kern w:val="0"/>
          <w:sz w:val="20"/>
          <w:szCs w:val="20"/>
        </w:rPr>
        <w:t>条、各类工作动态信息</w:t>
      </w:r>
      <w:r w:rsidRPr="00C67023">
        <w:rPr>
          <w:rFonts w:ascii="ˎ̥" w:eastAsia="宋体" w:hAnsi="ˎ̥" w:cs="宋体"/>
          <w:kern w:val="0"/>
          <w:sz w:val="20"/>
          <w:szCs w:val="20"/>
        </w:rPr>
        <w:t>108</w:t>
      </w:r>
      <w:r w:rsidRPr="00C67023">
        <w:rPr>
          <w:rFonts w:ascii="ˎ̥" w:eastAsia="宋体" w:hAnsi="ˎ̥" w:cs="宋体"/>
          <w:kern w:val="0"/>
          <w:sz w:val="20"/>
          <w:szCs w:val="20"/>
        </w:rPr>
        <w:t>条，增加了一位副职领导介绍，补录了</w:t>
      </w:r>
      <w:r w:rsidRPr="00C67023">
        <w:rPr>
          <w:rFonts w:ascii="ˎ̥" w:eastAsia="宋体" w:hAnsi="ˎ̥" w:cs="宋体"/>
          <w:kern w:val="0"/>
          <w:sz w:val="20"/>
          <w:szCs w:val="20"/>
        </w:rPr>
        <w:t>3</w:t>
      </w:r>
      <w:r w:rsidRPr="00C67023">
        <w:rPr>
          <w:rFonts w:ascii="ˎ̥" w:eastAsia="宋体" w:hAnsi="ˎ̥" w:cs="宋体"/>
          <w:kern w:val="0"/>
          <w:sz w:val="20"/>
          <w:szCs w:val="20"/>
        </w:rPr>
        <w:t>个年度的工作计划和工作总结。全年未收到依申请事项。</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本年度，按照区政府信息公开办的工作部署和要求，区社会办对本单位政府信息公开专栏进行了整改。同时，对本单位信息公开制度进行修改完善，进一步规范政府信息公开工作机制和工作流程，健全了工作领导小组机构。区社会办高度重视政府信息公开工作，积极派员参加全区政府信息公开工作培训，将政府信息公开工作列为本单位中心组及全体干部学习的重要内容，注重加强工作宣传，提高认识，增强实效。</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二、本年度重点工作</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（一）</w:t>
      </w:r>
      <w:r w:rsidRPr="00C67023">
        <w:rPr>
          <w:rFonts w:ascii="ˎ̥" w:eastAsia="宋体" w:hAnsi="ˎ̥" w:cs="宋体"/>
          <w:kern w:val="0"/>
          <w:sz w:val="20"/>
          <w:szCs w:val="20"/>
        </w:rPr>
        <w:t>2015</w:t>
      </w:r>
      <w:r w:rsidRPr="00C67023">
        <w:rPr>
          <w:rFonts w:ascii="ˎ̥" w:eastAsia="宋体" w:hAnsi="ˎ̥" w:cs="宋体"/>
          <w:kern w:val="0"/>
          <w:sz w:val="20"/>
          <w:szCs w:val="20"/>
        </w:rPr>
        <w:t>年政府信息公开工作要点落实情况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b/>
          <w:bCs/>
          <w:kern w:val="0"/>
          <w:sz w:val="20"/>
          <w:szCs w:val="20"/>
        </w:rPr>
        <w:t xml:space="preserve">    </w:t>
      </w:r>
      <w:r w:rsidRPr="00C67023">
        <w:rPr>
          <w:rFonts w:ascii="ˎ̥" w:eastAsia="宋体" w:hAnsi="ˎ̥" w:cs="宋体"/>
          <w:b/>
          <w:bCs/>
          <w:kern w:val="0"/>
          <w:sz w:val="20"/>
          <w:szCs w:val="20"/>
        </w:rPr>
        <w:t>区社会办在</w:t>
      </w:r>
      <w:r w:rsidRPr="00C67023">
        <w:rPr>
          <w:rFonts w:ascii="ˎ̥" w:eastAsia="宋体" w:hAnsi="ˎ̥" w:cs="宋体"/>
          <w:b/>
          <w:bCs/>
          <w:kern w:val="0"/>
          <w:sz w:val="20"/>
          <w:szCs w:val="20"/>
        </w:rPr>
        <w:t>2015</w:t>
      </w:r>
      <w:r w:rsidRPr="00C67023">
        <w:rPr>
          <w:rFonts w:ascii="ˎ̥" w:eastAsia="宋体" w:hAnsi="ˎ̥" w:cs="宋体"/>
          <w:b/>
          <w:bCs/>
          <w:kern w:val="0"/>
          <w:sz w:val="20"/>
          <w:szCs w:val="20"/>
        </w:rPr>
        <w:t>年政府信息公开工作要点中，没有被明确牵头的工作任务。</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1</w:t>
      </w:r>
      <w:r w:rsidRPr="00C67023">
        <w:rPr>
          <w:rFonts w:ascii="ˎ̥" w:eastAsia="宋体" w:hAnsi="ˎ̥" w:cs="宋体"/>
          <w:kern w:val="0"/>
          <w:sz w:val="20"/>
          <w:szCs w:val="20"/>
        </w:rPr>
        <w:t>．按照区政府信息公开办的统一部署，区社会办在</w:t>
      </w:r>
      <w:r w:rsidRPr="00C67023">
        <w:rPr>
          <w:rFonts w:ascii="ˎ̥" w:eastAsia="宋体" w:hAnsi="ˎ̥" w:cs="宋体"/>
          <w:kern w:val="0"/>
          <w:sz w:val="20"/>
          <w:szCs w:val="20"/>
        </w:rPr>
        <w:t>2012</w:t>
      </w:r>
      <w:r w:rsidRPr="00C67023">
        <w:rPr>
          <w:rFonts w:ascii="ˎ̥" w:eastAsia="宋体" w:hAnsi="ˎ̥" w:cs="宋体"/>
          <w:kern w:val="0"/>
          <w:sz w:val="20"/>
          <w:szCs w:val="20"/>
        </w:rPr>
        <w:t>年度梳理出权力目录基础上，于</w:t>
      </w:r>
      <w:r w:rsidRPr="00C67023">
        <w:rPr>
          <w:rFonts w:ascii="ˎ̥" w:eastAsia="宋体" w:hAnsi="ˎ̥" w:cs="宋体"/>
          <w:kern w:val="0"/>
          <w:sz w:val="20"/>
          <w:szCs w:val="20"/>
        </w:rPr>
        <w:t>2014</w:t>
      </w:r>
      <w:r w:rsidRPr="00C67023">
        <w:rPr>
          <w:rFonts w:ascii="ˎ̥" w:eastAsia="宋体" w:hAnsi="ˎ̥" w:cs="宋体"/>
          <w:kern w:val="0"/>
          <w:sz w:val="20"/>
          <w:szCs w:val="20"/>
        </w:rPr>
        <w:t>年对行政权力进行了梳理、调整，确定了</w:t>
      </w:r>
      <w:r w:rsidRPr="00C67023">
        <w:rPr>
          <w:rFonts w:ascii="ˎ̥" w:eastAsia="宋体" w:hAnsi="ˎ̥" w:cs="宋体"/>
          <w:kern w:val="0"/>
          <w:sz w:val="20"/>
          <w:szCs w:val="20"/>
        </w:rPr>
        <w:t>“</w:t>
      </w:r>
      <w:r w:rsidRPr="00C67023">
        <w:rPr>
          <w:rFonts w:ascii="ˎ̥" w:eastAsia="宋体" w:hAnsi="ˎ̥" w:cs="宋体"/>
          <w:kern w:val="0"/>
          <w:sz w:val="20"/>
          <w:szCs w:val="20"/>
        </w:rPr>
        <w:t>区社会办主任办公会权力清单</w:t>
      </w:r>
      <w:r w:rsidRPr="00C67023">
        <w:rPr>
          <w:rFonts w:ascii="ˎ̥" w:eastAsia="宋体" w:hAnsi="ˎ̥" w:cs="宋体"/>
          <w:kern w:val="0"/>
          <w:sz w:val="20"/>
          <w:szCs w:val="20"/>
        </w:rPr>
        <w:t>”</w:t>
      </w:r>
      <w:r w:rsidRPr="00C67023">
        <w:rPr>
          <w:rFonts w:ascii="ˎ̥" w:eastAsia="宋体" w:hAnsi="ˎ̥" w:cs="宋体"/>
          <w:kern w:val="0"/>
          <w:sz w:val="20"/>
          <w:szCs w:val="20"/>
        </w:rPr>
        <w:t>、</w:t>
      </w:r>
      <w:r w:rsidRPr="00C67023">
        <w:rPr>
          <w:rFonts w:ascii="ˎ̥" w:eastAsia="宋体" w:hAnsi="ˎ̥" w:cs="宋体"/>
          <w:kern w:val="0"/>
          <w:sz w:val="20"/>
          <w:szCs w:val="20"/>
        </w:rPr>
        <w:t>“</w:t>
      </w:r>
      <w:r w:rsidRPr="00C67023">
        <w:rPr>
          <w:rFonts w:ascii="ˎ̥" w:eastAsia="宋体" w:hAnsi="ˎ̥" w:cs="宋体"/>
          <w:kern w:val="0"/>
          <w:sz w:val="20"/>
          <w:szCs w:val="20"/>
        </w:rPr>
        <w:t>主任、副主任权力清单</w:t>
      </w:r>
      <w:r w:rsidRPr="00C67023">
        <w:rPr>
          <w:rFonts w:ascii="ˎ̥" w:eastAsia="宋体" w:hAnsi="ˎ̥" w:cs="宋体"/>
          <w:kern w:val="0"/>
          <w:sz w:val="20"/>
          <w:szCs w:val="20"/>
        </w:rPr>
        <w:t>”</w:t>
      </w:r>
      <w:r w:rsidRPr="00C67023">
        <w:rPr>
          <w:rFonts w:ascii="ˎ̥" w:eastAsia="宋体" w:hAnsi="ˎ̥" w:cs="宋体"/>
          <w:kern w:val="0"/>
          <w:sz w:val="20"/>
          <w:szCs w:val="20"/>
        </w:rPr>
        <w:t>，制定了权力流程图。并对以上内容及时进行了公开。</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2</w:t>
      </w:r>
      <w:r w:rsidRPr="00C67023">
        <w:rPr>
          <w:rFonts w:ascii="ˎ̥" w:eastAsia="宋体" w:hAnsi="ˎ̥" w:cs="宋体"/>
          <w:kern w:val="0"/>
          <w:sz w:val="20"/>
          <w:szCs w:val="20"/>
        </w:rPr>
        <w:t>．因社会办与社会工委为一套人马两副牌子，财务由区委统一管理，故在财政资金信息公开，尤其是</w:t>
      </w:r>
      <w:r w:rsidRPr="00C67023">
        <w:rPr>
          <w:rFonts w:ascii="ˎ̥" w:eastAsia="宋体" w:hAnsi="ˎ̥" w:cs="宋体"/>
          <w:kern w:val="0"/>
          <w:sz w:val="20"/>
          <w:szCs w:val="20"/>
        </w:rPr>
        <w:t>“</w:t>
      </w:r>
      <w:r w:rsidRPr="00C67023">
        <w:rPr>
          <w:rFonts w:ascii="ˎ̥" w:eastAsia="宋体" w:hAnsi="ˎ̥" w:cs="宋体"/>
          <w:kern w:val="0"/>
          <w:sz w:val="20"/>
          <w:szCs w:val="20"/>
        </w:rPr>
        <w:t>三公</w:t>
      </w:r>
      <w:r w:rsidRPr="00C67023">
        <w:rPr>
          <w:rFonts w:ascii="ˎ̥" w:eastAsia="宋体" w:hAnsi="ˎ̥" w:cs="宋体"/>
          <w:kern w:val="0"/>
          <w:sz w:val="20"/>
          <w:szCs w:val="20"/>
        </w:rPr>
        <w:t>”</w:t>
      </w:r>
      <w:r w:rsidRPr="00C67023">
        <w:rPr>
          <w:rFonts w:ascii="ˎ̥" w:eastAsia="宋体" w:hAnsi="ˎ̥" w:cs="宋体"/>
          <w:kern w:val="0"/>
          <w:sz w:val="20"/>
          <w:szCs w:val="20"/>
        </w:rPr>
        <w:t>经费预算、决算方面，暂不予公开。</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3</w:t>
      </w:r>
      <w:r w:rsidRPr="00C67023">
        <w:rPr>
          <w:rFonts w:ascii="ˎ̥" w:eastAsia="宋体" w:hAnsi="ˎ̥" w:cs="宋体"/>
          <w:kern w:val="0"/>
          <w:sz w:val="20"/>
          <w:szCs w:val="20"/>
        </w:rPr>
        <w:t>．区社会办自</w:t>
      </w:r>
      <w:r w:rsidRPr="00C67023">
        <w:rPr>
          <w:rFonts w:ascii="ˎ̥" w:eastAsia="宋体" w:hAnsi="ˎ̥" w:cs="宋体"/>
          <w:kern w:val="0"/>
          <w:sz w:val="20"/>
          <w:szCs w:val="20"/>
        </w:rPr>
        <w:t>2009</w:t>
      </w:r>
      <w:r w:rsidRPr="00C67023">
        <w:rPr>
          <w:rFonts w:ascii="ˎ̥" w:eastAsia="宋体" w:hAnsi="ˎ̥" w:cs="宋体"/>
          <w:kern w:val="0"/>
          <w:sz w:val="20"/>
          <w:szCs w:val="20"/>
        </w:rPr>
        <w:t>年开展政府信息公开工作以来，制定了《政府信息公开工作制度》，建立了区社会办信息公开工作领导小组，完善了公开工作流程，建立了信息公开保密审查机制。办公室负责本单位政府信息公开日常工作。</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（二）</w:t>
      </w:r>
      <w:r w:rsidRPr="00C67023">
        <w:rPr>
          <w:rFonts w:ascii="ˎ̥" w:eastAsia="宋体" w:hAnsi="ˎ̥" w:cs="宋体"/>
          <w:kern w:val="0"/>
          <w:sz w:val="20"/>
          <w:szCs w:val="20"/>
        </w:rPr>
        <w:t>2015</w:t>
      </w:r>
      <w:r w:rsidRPr="00C67023">
        <w:rPr>
          <w:rFonts w:ascii="ˎ̥" w:eastAsia="宋体" w:hAnsi="ˎ̥" w:cs="宋体"/>
          <w:kern w:val="0"/>
          <w:sz w:val="20"/>
          <w:szCs w:val="20"/>
        </w:rPr>
        <w:t>年建议和提案办理结果情况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2015</w:t>
      </w:r>
      <w:r w:rsidRPr="00C67023">
        <w:rPr>
          <w:rFonts w:ascii="ˎ̥" w:eastAsia="宋体" w:hAnsi="ˎ̥" w:cs="宋体"/>
          <w:kern w:val="0"/>
          <w:sz w:val="20"/>
          <w:szCs w:val="20"/>
        </w:rPr>
        <w:t>年，区社会办办理人大建议和政协提案共</w:t>
      </w:r>
      <w:r w:rsidRPr="00C67023">
        <w:rPr>
          <w:rFonts w:ascii="ˎ̥" w:eastAsia="宋体" w:hAnsi="ˎ̥" w:cs="宋体"/>
          <w:kern w:val="0"/>
          <w:sz w:val="20"/>
          <w:szCs w:val="20"/>
        </w:rPr>
        <w:t>33</w:t>
      </w:r>
      <w:r w:rsidRPr="00C67023">
        <w:rPr>
          <w:rFonts w:ascii="ˎ̥" w:eastAsia="宋体" w:hAnsi="ˎ̥" w:cs="宋体"/>
          <w:kern w:val="0"/>
          <w:sz w:val="20"/>
          <w:szCs w:val="20"/>
        </w:rPr>
        <w:t>件，包括人大建议</w:t>
      </w:r>
      <w:r w:rsidRPr="00C67023">
        <w:rPr>
          <w:rFonts w:ascii="ˎ̥" w:eastAsia="宋体" w:hAnsi="ˎ̥" w:cs="宋体"/>
          <w:kern w:val="0"/>
          <w:sz w:val="20"/>
          <w:szCs w:val="20"/>
        </w:rPr>
        <w:t>16</w:t>
      </w:r>
      <w:r w:rsidRPr="00C67023">
        <w:rPr>
          <w:rFonts w:ascii="ˎ̥" w:eastAsia="宋体" w:hAnsi="ˎ̥" w:cs="宋体"/>
          <w:kern w:val="0"/>
          <w:sz w:val="20"/>
          <w:szCs w:val="20"/>
        </w:rPr>
        <w:t>件，政协提案</w:t>
      </w:r>
      <w:r w:rsidRPr="00C67023">
        <w:rPr>
          <w:rFonts w:ascii="ˎ̥" w:eastAsia="宋体" w:hAnsi="ˎ̥" w:cs="宋体"/>
          <w:kern w:val="0"/>
          <w:sz w:val="20"/>
          <w:szCs w:val="20"/>
        </w:rPr>
        <w:t>17</w:t>
      </w:r>
      <w:r w:rsidRPr="00C67023">
        <w:rPr>
          <w:rFonts w:ascii="ˎ̥" w:eastAsia="宋体" w:hAnsi="ˎ̥" w:cs="宋体"/>
          <w:kern w:val="0"/>
          <w:sz w:val="20"/>
          <w:szCs w:val="20"/>
        </w:rPr>
        <w:t>件。其中单办和主办件</w:t>
      </w:r>
      <w:r w:rsidRPr="00C67023">
        <w:rPr>
          <w:rFonts w:ascii="ˎ̥" w:eastAsia="宋体" w:hAnsi="ˎ̥" w:cs="宋体"/>
          <w:kern w:val="0"/>
          <w:sz w:val="20"/>
          <w:szCs w:val="20"/>
        </w:rPr>
        <w:t>12</w:t>
      </w:r>
      <w:r w:rsidRPr="00C67023">
        <w:rPr>
          <w:rFonts w:ascii="ˎ̥" w:eastAsia="宋体" w:hAnsi="ˎ̥" w:cs="宋体"/>
          <w:kern w:val="0"/>
          <w:sz w:val="20"/>
          <w:szCs w:val="20"/>
        </w:rPr>
        <w:t>件，会办件</w:t>
      </w:r>
      <w:r w:rsidRPr="00C67023">
        <w:rPr>
          <w:rFonts w:ascii="ˎ̥" w:eastAsia="宋体" w:hAnsi="ˎ̥" w:cs="宋体"/>
          <w:kern w:val="0"/>
          <w:sz w:val="20"/>
          <w:szCs w:val="20"/>
        </w:rPr>
        <w:t>21</w:t>
      </w:r>
      <w:r w:rsidRPr="00C67023">
        <w:rPr>
          <w:rFonts w:ascii="ˎ̥" w:eastAsia="宋体" w:hAnsi="ˎ̥" w:cs="宋体"/>
          <w:kern w:val="0"/>
          <w:sz w:val="20"/>
          <w:szCs w:val="20"/>
        </w:rPr>
        <w:t>件。截至到</w:t>
      </w:r>
      <w:r w:rsidRPr="00C67023">
        <w:rPr>
          <w:rFonts w:ascii="ˎ̥" w:eastAsia="宋体" w:hAnsi="ˎ̥" w:cs="宋体"/>
          <w:kern w:val="0"/>
          <w:sz w:val="20"/>
          <w:szCs w:val="20"/>
        </w:rPr>
        <w:t>6</w:t>
      </w:r>
      <w:r w:rsidRPr="00C67023">
        <w:rPr>
          <w:rFonts w:ascii="ˎ̥" w:eastAsia="宋体" w:hAnsi="ˎ̥" w:cs="宋体"/>
          <w:kern w:val="0"/>
          <w:sz w:val="20"/>
          <w:szCs w:val="20"/>
        </w:rPr>
        <w:t>月</w:t>
      </w:r>
      <w:r w:rsidRPr="00C67023">
        <w:rPr>
          <w:rFonts w:ascii="ˎ̥" w:eastAsia="宋体" w:hAnsi="ˎ̥" w:cs="宋体"/>
          <w:kern w:val="0"/>
          <w:sz w:val="20"/>
          <w:szCs w:val="20"/>
        </w:rPr>
        <w:t>15</w:t>
      </w:r>
      <w:r w:rsidRPr="00C67023">
        <w:rPr>
          <w:rFonts w:ascii="ˎ̥" w:eastAsia="宋体" w:hAnsi="ˎ̥" w:cs="宋体"/>
          <w:kern w:val="0"/>
          <w:sz w:val="20"/>
          <w:szCs w:val="20"/>
        </w:rPr>
        <w:t>日，主办件已全部在规定时间内办结，满意率为</w:t>
      </w:r>
      <w:r w:rsidRPr="00C67023">
        <w:rPr>
          <w:rFonts w:ascii="ˎ̥" w:eastAsia="宋体" w:hAnsi="ˎ̥" w:cs="宋体"/>
          <w:kern w:val="0"/>
          <w:sz w:val="20"/>
          <w:szCs w:val="20"/>
        </w:rPr>
        <w:t>100%</w:t>
      </w:r>
      <w:r w:rsidRPr="00C67023">
        <w:rPr>
          <w:rFonts w:ascii="ˎ̥" w:eastAsia="宋体" w:hAnsi="ˎ̥" w:cs="宋体"/>
          <w:kern w:val="0"/>
          <w:sz w:val="20"/>
          <w:szCs w:val="20"/>
        </w:rPr>
        <w:t>。会办件已按办理要求，及时与主办单位进行了沟通并提出了办理意见，供主办单位在答复时参考。</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三、政府信息主动公开情况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（一）公开情况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本单位</w:t>
      </w:r>
      <w:r w:rsidRPr="00C67023">
        <w:rPr>
          <w:rFonts w:ascii="ˎ̥" w:eastAsia="宋体" w:hAnsi="ˎ̥" w:cs="宋体"/>
          <w:kern w:val="0"/>
          <w:sz w:val="20"/>
          <w:szCs w:val="20"/>
        </w:rPr>
        <w:t>2015</w:t>
      </w:r>
      <w:r w:rsidRPr="00C67023">
        <w:rPr>
          <w:rFonts w:ascii="ˎ̥" w:eastAsia="宋体" w:hAnsi="ˎ̥" w:cs="宋体"/>
          <w:kern w:val="0"/>
          <w:sz w:val="20"/>
          <w:szCs w:val="20"/>
        </w:rPr>
        <w:t>年共主动公开政府信息</w:t>
      </w:r>
      <w:r w:rsidRPr="00C67023">
        <w:rPr>
          <w:rFonts w:ascii="ˎ̥" w:eastAsia="宋体" w:hAnsi="ˎ̥" w:cs="宋体"/>
          <w:kern w:val="0"/>
          <w:sz w:val="20"/>
          <w:szCs w:val="20"/>
        </w:rPr>
        <w:t>110</w:t>
      </w:r>
      <w:r w:rsidRPr="00C67023">
        <w:rPr>
          <w:rFonts w:ascii="ˎ̥" w:eastAsia="宋体" w:hAnsi="ˎ̥" w:cs="宋体"/>
          <w:kern w:val="0"/>
          <w:sz w:val="20"/>
          <w:szCs w:val="20"/>
        </w:rPr>
        <w:t>条，其中全文电子化率达</w:t>
      </w:r>
      <w:r w:rsidRPr="00C67023">
        <w:rPr>
          <w:rFonts w:ascii="ˎ̥" w:eastAsia="宋体" w:hAnsi="ˎ̥" w:cs="宋体"/>
          <w:kern w:val="0"/>
          <w:sz w:val="20"/>
          <w:szCs w:val="20"/>
        </w:rPr>
        <w:t>100%</w:t>
      </w:r>
      <w:r w:rsidRPr="00C67023">
        <w:rPr>
          <w:rFonts w:ascii="ˎ̥" w:eastAsia="宋体" w:hAnsi="ˎ̥" w:cs="宋体"/>
          <w:kern w:val="0"/>
          <w:sz w:val="20"/>
          <w:szCs w:val="20"/>
        </w:rPr>
        <w:t>。</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在主动公开的信息中，法规文件类信息</w:t>
      </w:r>
      <w:r w:rsidRPr="00C67023">
        <w:rPr>
          <w:rFonts w:ascii="ˎ̥" w:eastAsia="宋体" w:hAnsi="ˎ̥" w:cs="宋体"/>
          <w:kern w:val="0"/>
          <w:sz w:val="20"/>
          <w:szCs w:val="20"/>
        </w:rPr>
        <w:t>1</w:t>
      </w:r>
      <w:r w:rsidRPr="00C67023">
        <w:rPr>
          <w:rFonts w:ascii="ˎ̥" w:eastAsia="宋体" w:hAnsi="ˎ̥" w:cs="宋体"/>
          <w:kern w:val="0"/>
          <w:sz w:val="20"/>
          <w:szCs w:val="20"/>
        </w:rPr>
        <w:t>条，占总体的比例约为</w:t>
      </w:r>
      <w:r w:rsidRPr="00C67023">
        <w:rPr>
          <w:rFonts w:ascii="ˎ̥" w:eastAsia="宋体" w:hAnsi="ˎ̥" w:cs="宋体"/>
          <w:kern w:val="0"/>
          <w:sz w:val="20"/>
          <w:szCs w:val="20"/>
        </w:rPr>
        <w:t>1%</w:t>
      </w:r>
      <w:r w:rsidRPr="00C67023">
        <w:rPr>
          <w:rFonts w:ascii="ˎ̥" w:eastAsia="宋体" w:hAnsi="ˎ̥" w:cs="宋体"/>
          <w:kern w:val="0"/>
          <w:sz w:val="20"/>
          <w:szCs w:val="20"/>
        </w:rPr>
        <w:t>；规划计划类信息</w:t>
      </w:r>
      <w:r w:rsidRPr="00C67023">
        <w:rPr>
          <w:rFonts w:ascii="ˎ̥" w:eastAsia="宋体" w:hAnsi="ˎ̥" w:cs="宋体"/>
          <w:kern w:val="0"/>
          <w:sz w:val="20"/>
          <w:szCs w:val="20"/>
        </w:rPr>
        <w:t>1</w:t>
      </w:r>
      <w:r w:rsidRPr="00C67023">
        <w:rPr>
          <w:rFonts w:ascii="ˎ̥" w:eastAsia="宋体" w:hAnsi="ˎ̥" w:cs="宋体"/>
          <w:kern w:val="0"/>
          <w:sz w:val="20"/>
          <w:szCs w:val="20"/>
        </w:rPr>
        <w:t>条，占总体的比例约为</w:t>
      </w:r>
      <w:r w:rsidRPr="00C67023">
        <w:rPr>
          <w:rFonts w:ascii="ˎ̥" w:eastAsia="宋体" w:hAnsi="ˎ̥" w:cs="宋体"/>
          <w:kern w:val="0"/>
          <w:sz w:val="20"/>
          <w:szCs w:val="20"/>
        </w:rPr>
        <w:t>1%</w:t>
      </w:r>
      <w:r w:rsidRPr="00C67023">
        <w:rPr>
          <w:rFonts w:ascii="ˎ̥" w:eastAsia="宋体" w:hAnsi="ˎ̥" w:cs="宋体"/>
          <w:kern w:val="0"/>
          <w:sz w:val="20"/>
          <w:szCs w:val="20"/>
        </w:rPr>
        <w:t>；业务动态类信息</w:t>
      </w:r>
      <w:r w:rsidRPr="00C67023">
        <w:rPr>
          <w:rFonts w:ascii="ˎ̥" w:eastAsia="宋体" w:hAnsi="ˎ̥" w:cs="宋体"/>
          <w:kern w:val="0"/>
          <w:sz w:val="20"/>
          <w:szCs w:val="20"/>
        </w:rPr>
        <w:t>108</w:t>
      </w:r>
      <w:r w:rsidRPr="00C67023">
        <w:rPr>
          <w:rFonts w:ascii="ˎ̥" w:eastAsia="宋体" w:hAnsi="ˎ̥" w:cs="宋体"/>
          <w:kern w:val="0"/>
          <w:sz w:val="20"/>
          <w:szCs w:val="20"/>
        </w:rPr>
        <w:t>条，占总体的比例约为</w:t>
      </w:r>
      <w:r w:rsidRPr="00C67023">
        <w:rPr>
          <w:rFonts w:ascii="ˎ̥" w:eastAsia="宋体" w:hAnsi="ˎ̥" w:cs="宋体"/>
          <w:kern w:val="0"/>
          <w:sz w:val="20"/>
          <w:szCs w:val="20"/>
        </w:rPr>
        <w:t>98%</w:t>
      </w:r>
      <w:r w:rsidRPr="00C67023">
        <w:rPr>
          <w:rFonts w:ascii="ˎ̥" w:eastAsia="宋体" w:hAnsi="ˎ̥" w:cs="宋体"/>
          <w:kern w:val="0"/>
          <w:sz w:val="20"/>
          <w:szCs w:val="20"/>
        </w:rPr>
        <w:t>。本单位属统筹协调工作部门，不产生法律法规类信息。</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本单位主动公开的政府信息中，主要是工作动态类信息，包括本单位、街道、社区及区域内社会组织产生的工作动态类信息。对于影响和推动全区社会建设工作，起到了积极的宣传效应。</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（二）公开形式</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在主动公开的信息中，为方便公众了解信息，本单位在主动公开政府信息的形式上，主要有：政府网站、政府信息公开大厅、政府信息公开栏、信息查阅点、电子屏幕、便民手册、服务指南、公告、通告、新闻发布会、档案馆文件查询中心、报纸、广播、电视等。</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四、政府信息依申请公开情况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本单位</w:t>
      </w:r>
      <w:r w:rsidRPr="00C67023">
        <w:rPr>
          <w:rFonts w:ascii="ˎ̥" w:eastAsia="宋体" w:hAnsi="ˎ̥" w:cs="宋体"/>
          <w:kern w:val="0"/>
          <w:sz w:val="20"/>
          <w:szCs w:val="20"/>
        </w:rPr>
        <w:t>2015</w:t>
      </w:r>
      <w:r w:rsidRPr="00C67023">
        <w:rPr>
          <w:rFonts w:ascii="ˎ̥" w:eastAsia="宋体" w:hAnsi="ˎ̥" w:cs="宋体"/>
          <w:kern w:val="0"/>
          <w:sz w:val="20"/>
          <w:szCs w:val="20"/>
        </w:rPr>
        <w:t>年度共未收到政府信息公开申请事项。</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五、人员和收支情况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本单位从事政府信息公开工作的兼职人员共</w:t>
      </w:r>
      <w:r w:rsidRPr="00C67023">
        <w:rPr>
          <w:rFonts w:ascii="ˎ̥" w:eastAsia="宋体" w:hAnsi="ˎ̥" w:cs="宋体"/>
          <w:kern w:val="0"/>
          <w:sz w:val="20"/>
          <w:szCs w:val="20"/>
        </w:rPr>
        <w:t>1</w:t>
      </w:r>
      <w:r w:rsidRPr="00C67023">
        <w:rPr>
          <w:rFonts w:ascii="ˎ̥" w:eastAsia="宋体" w:hAnsi="ˎ̥" w:cs="宋体"/>
          <w:kern w:val="0"/>
          <w:sz w:val="20"/>
          <w:szCs w:val="20"/>
        </w:rPr>
        <w:t>人，同上年相比，未变动。</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六、咨询情况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2015</w:t>
      </w:r>
      <w:r w:rsidRPr="00C67023">
        <w:rPr>
          <w:rFonts w:ascii="ˎ̥" w:eastAsia="宋体" w:hAnsi="ˎ̥" w:cs="宋体"/>
          <w:kern w:val="0"/>
          <w:sz w:val="20"/>
          <w:szCs w:val="20"/>
        </w:rPr>
        <w:t>年，本单位共接受公民、法人及其他组织政府信息公开方面的咨询</w:t>
      </w:r>
      <w:r w:rsidRPr="00C67023">
        <w:rPr>
          <w:rFonts w:ascii="ˎ̥" w:eastAsia="宋体" w:hAnsi="ˎ̥" w:cs="宋体"/>
          <w:kern w:val="0"/>
          <w:sz w:val="20"/>
          <w:szCs w:val="20"/>
        </w:rPr>
        <w:t>8</w:t>
      </w:r>
      <w:r w:rsidRPr="00C67023">
        <w:rPr>
          <w:rFonts w:ascii="ˎ̥" w:eastAsia="宋体" w:hAnsi="ˎ̥" w:cs="宋体"/>
          <w:kern w:val="0"/>
          <w:sz w:val="20"/>
          <w:szCs w:val="20"/>
        </w:rPr>
        <w:t>人次。其中，现场咨询</w:t>
      </w:r>
      <w:r w:rsidRPr="00C67023">
        <w:rPr>
          <w:rFonts w:ascii="ˎ̥" w:eastAsia="宋体" w:hAnsi="ˎ̥" w:cs="宋体"/>
          <w:kern w:val="0"/>
          <w:sz w:val="20"/>
          <w:szCs w:val="20"/>
        </w:rPr>
        <w:t>5</w:t>
      </w:r>
      <w:r w:rsidRPr="00C67023">
        <w:rPr>
          <w:rFonts w:ascii="ˎ̥" w:eastAsia="宋体" w:hAnsi="ˎ̥" w:cs="宋体"/>
          <w:kern w:val="0"/>
          <w:sz w:val="20"/>
          <w:szCs w:val="20"/>
        </w:rPr>
        <w:t>人次，占总数的</w:t>
      </w:r>
      <w:r w:rsidRPr="00C67023">
        <w:rPr>
          <w:rFonts w:ascii="ˎ̥" w:eastAsia="宋体" w:hAnsi="ˎ̥" w:cs="宋体"/>
          <w:kern w:val="0"/>
          <w:sz w:val="20"/>
          <w:szCs w:val="20"/>
        </w:rPr>
        <w:t>62.5%</w:t>
      </w:r>
      <w:r w:rsidRPr="00C67023">
        <w:rPr>
          <w:rFonts w:ascii="ˎ̥" w:eastAsia="宋体" w:hAnsi="ˎ̥" w:cs="宋体"/>
          <w:kern w:val="0"/>
          <w:sz w:val="20"/>
          <w:szCs w:val="20"/>
        </w:rPr>
        <w:t>；电话咨询</w:t>
      </w:r>
      <w:r w:rsidRPr="00C67023">
        <w:rPr>
          <w:rFonts w:ascii="ˎ̥" w:eastAsia="宋体" w:hAnsi="ˎ̥" w:cs="宋体"/>
          <w:kern w:val="0"/>
          <w:sz w:val="20"/>
          <w:szCs w:val="20"/>
        </w:rPr>
        <w:t>3</w:t>
      </w:r>
      <w:r w:rsidRPr="00C67023">
        <w:rPr>
          <w:rFonts w:ascii="ˎ̥" w:eastAsia="宋体" w:hAnsi="ˎ̥" w:cs="宋体"/>
          <w:kern w:val="0"/>
          <w:sz w:val="20"/>
          <w:szCs w:val="20"/>
        </w:rPr>
        <w:t>人次，占总数的</w:t>
      </w:r>
      <w:r w:rsidRPr="00C67023">
        <w:rPr>
          <w:rFonts w:ascii="ˎ̥" w:eastAsia="宋体" w:hAnsi="ˎ̥" w:cs="宋体"/>
          <w:kern w:val="0"/>
          <w:sz w:val="20"/>
          <w:szCs w:val="20"/>
        </w:rPr>
        <w:t>37.5%</w:t>
      </w:r>
      <w:r w:rsidRPr="00C67023">
        <w:rPr>
          <w:rFonts w:ascii="ˎ̥" w:eastAsia="宋体" w:hAnsi="ˎ̥" w:cs="宋体"/>
          <w:kern w:val="0"/>
          <w:sz w:val="20"/>
          <w:szCs w:val="20"/>
        </w:rPr>
        <w:t>。</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七、行政复议和行政诉讼情况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2015</w:t>
      </w:r>
      <w:r w:rsidRPr="00C67023">
        <w:rPr>
          <w:rFonts w:ascii="ˎ̥" w:eastAsia="宋体" w:hAnsi="ˎ̥" w:cs="宋体"/>
          <w:kern w:val="0"/>
          <w:sz w:val="20"/>
          <w:szCs w:val="20"/>
        </w:rPr>
        <w:t>年，本单位政府信息公开未产生行政复议和行政诉讼情况。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八、主要问题和改进措施</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xml:space="preserve">    </w:t>
      </w:r>
      <w:r w:rsidRPr="00C67023">
        <w:rPr>
          <w:rFonts w:ascii="ˎ̥" w:eastAsia="宋体" w:hAnsi="ˎ̥" w:cs="宋体"/>
          <w:kern w:val="0"/>
          <w:sz w:val="20"/>
          <w:szCs w:val="20"/>
        </w:rPr>
        <w:t>社会办与社会工委是一套人马两副牌子，工作主要以社会工委名义承办落实，也非行政执法部门，全年基本上不以社会办名义制发文件。在日常公开的信息中，基本上都是工作动态类信息，这是本单位政府信息公开中的客观情况。</w:t>
      </w:r>
    </w:p>
    <w:p w:rsidR="00C67023" w:rsidRPr="00C67023" w:rsidRDefault="00C67023" w:rsidP="00C67023">
      <w:pPr>
        <w:widowControl/>
        <w:jc w:val="left"/>
        <w:rPr>
          <w:rFonts w:ascii="ˎ̥" w:eastAsia="宋体" w:hAnsi="ˎ̥" w:cs="宋体"/>
          <w:kern w:val="0"/>
          <w:sz w:val="20"/>
          <w:szCs w:val="20"/>
        </w:rPr>
      </w:pPr>
      <w:r w:rsidRPr="00C67023">
        <w:rPr>
          <w:rFonts w:ascii="ˎ̥" w:eastAsia="宋体" w:hAnsi="ˎ̥" w:cs="宋体"/>
          <w:kern w:val="0"/>
          <w:sz w:val="20"/>
          <w:szCs w:val="20"/>
        </w:rPr>
        <w:t>    2016</w:t>
      </w:r>
      <w:r w:rsidRPr="00C67023">
        <w:rPr>
          <w:rFonts w:ascii="ˎ̥" w:eastAsia="宋体" w:hAnsi="ˎ̥" w:cs="宋体"/>
          <w:kern w:val="0"/>
          <w:sz w:val="20"/>
          <w:szCs w:val="20"/>
        </w:rPr>
        <w:t>年度，区社会办信息公开工作将严格以区政府信息公开办公室工作引领为指导，做实、做全、做细本单位信息公开工作。一是进一步完善和落实各项工作制度和工作机制，二是稳步提高公开信息的质量和数量，三是在机关内部加强政府信息公开工作的学习和培训，四是与区政府信息公开办公室加强沟通交流，积极落实每次培训任务。</w:t>
      </w:r>
    </w:p>
    <w:p w:rsidR="00D077BC" w:rsidRPr="00C67023" w:rsidRDefault="00D077BC"/>
    <w:sectPr w:rsidR="00D077BC" w:rsidRPr="00C670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7BC" w:rsidRDefault="00D077BC" w:rsidP="00C67023">
      <w:r>
        <w:separator/>
      </w:r>
    </w:p>
  </w:endnote>
  <w:endnote w:type="continuationSeparator" w:id="1">
    <w:p w:rsidR="00D077BC" w:rsidRDefault="00D077BC" w:rsidP="00C67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7BC" w:rsidRDefault="00D077BC" w:rsidP="00C67023">
      <w:r>
        <w:separator/>
      </w:r>
    </w:p>
  </w:footnote>
  <w:footnote w:type="continuationSeparator" w:id="1">
    <w:p w:rsidR="00D077BC" w:rsidRDefault="00D077BC" w:rsidP="00C67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023"/>
    <w:rsid w:val="00C67023"/>
    <w:rsid w:val="00D07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7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7023"/>
    <w:rPr>
      <w:sz w:val="18"/>
      <w:szCs w:val="18"/>
    </w:rPr>
  </w:style>
  <w:style w:type="paragraph" w:styleId="a4">
    <w:name w:val="footer"/>
    <w:basedOn w:val="a"/>
    <w:link w:val="Char0"/>
    <w:uiPriority w:val="99"/>
    <w:semiHidden/>
    <w:unhideWhenUsed/>
    <w:rsid w:val="00C67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7023"/>
    <w:rPr>
      <w:sz w:val="18"/>
      <w:szCs w:val="18"/>
    </w:rPr>
  </w:style>
  <w:style w:type="character" w:styleId="a5">
    <w:name w:val="Hyperlink"/>
    <w:basedOn w:val="a0"/>
    <w:uiPriority w:val="99"/>
    <w:semiHidden/>
    <w:unhideWhenUsed/>
    <w:rsid w:val="00C67023"/>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421217529">
      <w:bodyDiv w:val="1"/>
      <w:marLeft w:val="0"/>
      <w:marRight w:val="0"/>
      <w:marTop w:val="0"/>
      <w:marBottom w:val="0"/>
      <w:divBdr>
        <w:top w:val="none" w:sz="0" w:space="0" w:color="auto"/>
        <w:left w:val="none" w:sz="0" w:space="0" w:color="auto"/>
        <w:bottom w:val="none" w:sz="0" w:space="0" w:color="auto"/>
        <w:right w:val="none" w:sz="0" w:space="0" w:color="auto"/>
      </w:divBdr>
      <w:divsChild>
        <w:div w:id="1794209285">
          <w:marLeft w:val="0"/>
          <w:marRight w:val="0"/>
          <w:marTop w:val="0"/>
          <w:marBottom w:val="0"/>
          <w:divBdr>
            <w:top w:val="none" w:sz="0" w:space="0" w:color="auto"/>
            <w:left w:val="none" w:sz="0" w:space="0" w:color="auto"/>
            <w:bottom w:val="none" w:sz="0" w:space="0" w:color="auto"/>
            <w:right w:val="none" w:sz="0" w:space="0" w:color="auto"/>
          </w:divBdr>
        </w:div>
        <w:div w:id="1350909236">
          <w:marLeft w:val="0"/>
          <w:marRight w:val="0"/>
          <w:marTop w:val="0"/>
          <w:marBottom w:val="0"/>
          <w:divBdr>
            <w:top w:val="none" w:sz="0" w:space="0" w:color="auto"/>
            <w:left w:val="none" w:sz="0" w:space="0" w:color="auto"/>
            <w:bottom w:val="none" w:sz="0" w:space="0" w:color="auto"/>
            <w:right w:val="none" w:sz="0" w:space="0" w:color="auto"/>
          </w:divBdr>
        </w:div>
        <w:div w:id="314531271">
          <w:marLeft w:val="0"/>
          <w:marRight w:val="0"/>
          <w:marTop w:val="0"/>
          <w:marBottom w:val="0"/>
          <w:divBdr>
            <w:top w:val="none" w:sz="0" w:space="0" w:color="auto"/>
            <w:left w:val="none" w:sz="0" w:space="0" w:color="auto"/>
            <w:bottom w:val="none" w:sz="0" w:space="0" w:color="auto"/>
            <w:right w:val="none" w:sz="0" w:space="0" w:color="auto"/>
          </w:divBdr>
        </w:div>
        <w:div w:id="1219517632">
          <w:marLeft w:val="0"/>
          <w:marRight w:val="0"/>
          <w:marTop w:val="0"/>
          <w:marBottom w:val="0"/>
          <w:divBdr>
            <w:top w:val="none" w:sz="0" w:space="0" w:color="auto"/>
            <w:left w:val="none" w:sz="0" w:space="0" w:color="auto"/>
            <w:bottom w:val="none" w:sz="0" w:space="0" w:color="auto"/>
            <w:right w:val="none" w:sz="0" w:space="0" w:color="auto"/>
          </w:divBdr>
        </w:div>
        <w:div w:id="1684282282">
          <w:marLeft w:val="0"/>
          <w:marRight w:val="0"/>
          <w:marTop w:val="0"/>
          <w:marBottom w:val="0"/>
          <w:divBdr>
            <w:top w:val="none" w:sz="0" w:space="0" w:color="auto"/>
            <w:left w:val="none" w:sz="0" w:space="0" w:color="auto"/>
            <w:bottom w:val="none" w:sz="0" w:space="0" w:color="auto"/>
            <w:right w:val="none" w:sz="0" w:space="0" w:color="auto"/>
          </w:divBdr>
        </w:div>
        <w:div w:id="1532759781">
          <w:marLeft w:val="0"/>
          <w:marRight w:val="0"/>
          <w:marTop w:val="0"/>
          <w:marBottom w:val="0"/>
          <w:divBdr>
            <w:top w:val="none" w:sz="0" w:space="0" w:color="auto"/>
            <w:left w:val="none" w:sz="0" w:space="0" w:color="auto"/>
            <w:bottom w:val="none" w:sz="0" w:space="0" w:color="auto"/>
            <w:right w:val="none" w:sz="0" w:space="0" w:color="auto"/>
          </w:divBdr>
        </w:div>
        <w:div w:id="90395799">
          <w:marLeft w:val="0"/>
          <w:marRight w:val="0"/>
          <w:marTop w:val="0"/>
          <w:marBottom w:val="0"/>
          <w:divBdr>
            <w:top w:val="none" w:sz="0" w:space="0" w:color="auto"/>
            <w:left w:val="none" w:sz="0" w:space="0" w:color="auto"/>
            <w:bottom w:val="none" w:sz="0" w:space="0" w:color="auto"/>
            <w:right w:val="none" w:sz="0" w:space="0" w:color="auto"/>
          </w:divBdr>
        </w:div>
        <w:div w:id="1378430404">
          <w:marLeft w:val="0"/>
          <w:marRight w:val="0"/>
          <w:marTop w:val="0"/>
          <w:marBottom w:val="0"/>
          <w:divBdr>
            <w:top w:val="none" w:sz="0" w:space="0" w:color="auto"/>
            <w:left w:val="none" w:sz="0" w:space="0" w:color="auto"/>
            <w:bottom w:val="none" w:sz="0" w:space="0" w:color="auto"/>
            <w:right w:val="none" w:sz="0" w:space="0" w:color="auto"/>
          </w:divBdr>
        </w:div>
        <w:div w:id="158985313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819296255">
          <w:marLeft w:val="0"/>
          <w:marRight w:val="0"/>
          <w:marTop w:val="0"/>
          <w:marBottom w:val="0"/>
          <w:divBdr>
            <w:top w:val="none" w:sz="0" w:space="0" w:color="auto"/>
            <w:left w:val="none" w:sz="0" w:space="0" w:color="auto"/>
            <w:bottom w:val="none" w:sz="0" w:space="0" w:color="auto"/>
            <w:right w:val="none" w:sz="0" w:space="0" w:color="auto"/>
          </w:divBdr>
        </w:div>
        <w:div w:id="1823765960">
          <w:marLeft w:val="0"/>
          <w:marRight w:val="0"/>
          <w:marTop w:val="0"/>
          <w:marBottom w:val="0"/>
          <w:divBdr>
            <w:top w:val="none" w:sz="0" w:space="0" w:color="auto"/>
            <w:left w:val="none" w:sz="0" w:space="0" w:color="auto"/>
            <w:bottom w:val="none" w:sz="0" w:space="0" w:color="auto"/>
            <w:right w:val="none" w:sz="0" w:space="0" w:color="auto"/>
          </w:divBdr>
        </w:div>
        <w:div w:id="661809435">
          <w:marLeft w:val="0"/>
          <w:marRight w:val="0"/>
          <w:marTop w:val="0"/>
          <w:marBottom w:val="0"/>
          <w:divBdr>
            <w:top w:val="none" w:sz="0" w:space="0" w:color="auto"/>
            <w:left w:val="none" w:sz="0" w:space="0" w:color="auto"/>
            <w:bottom w:val="none" w:sz="0" w:space="0" w:color="auto"/>
            <w:right w:val="none" w:sz="0" w:space="0" w:color="auto"/>
          </w:divBdr>
        </w:div>
        <w:div w:id="1208293956">
          <w:marLeft w:val="0"/>
          <w:marRight w:val="0"/>
          <w:marTop w:val="0"/>
          <w:marBottom w:val="0"/>
          <w:divBdr>
            <w:top w:val="none" w:sz="0" w:space="0" w:color="auto"/>
            <w:left w:val="none" w:sz="0" w:space="0" w:color="auto"/>
            <w:bottom w:val="none" w:sz="0" w:space="0" w:color="auto"/>
            <w:right w:val="none" w:sz="0" w:space="0" w:color="auto"/>
          </w:divBdr>
        </w:div>
        <w:div w:id="932128681">
          <w:marLeft w:val="0"/>
          <w:marRight w:val="0"/>
          <w:marTop w:val="0"/>
          <w:marBottom w:val="0"/>
          <w:divBdr>
            <w:top w:val="none" w:sz="0" w:space="0" w:color="auto"/>
            <w:left w:val="none" w:sz="0" w:space="0" w:color="auto"/>
            <w:bottom w:val="none" w:sz="0" w:space="0" w:color="auto"/>
            <w:right w:val="none" w:sz="0" w:space="0" w:color="auto"/>
          </w:divBdr>
        </w:div>
        <w:div w:id="305939080">
          <w:marLeft w:val="0"/>
          <w:marRight w:val="0"/>
          <w:marTop w:val="0"/>
          <w:marBottom w:val="0"/>
          <w:divBdr>
            <w:top w:val="none" w:sz="0" w:space="0" w:color="auto"/>
            <w:left w:val="none" w:sz="0" w:space="0" w:color="auto"/>
            <w:bottom w:val="none" w:sz="0" w:space="0" w:color="auto"/>
            <w:right w:val="none" w:sz="0" w:space="0" w:color="auto"/>
          </w:divBdr>
        </w:div>
        <w:div w:id="161508232">
          <w:marLeft w:val="0"/>
          <w:marRight w:val="0"/>
          <w:marTop w:val="0"/>
          <w:marBottom w:val="0"/>
          <w:divBdr>
            <w:top w:val="none" w:sz="0" w:space="0" w:color="auto"/>
            <w:left w:val="none" w:sz="0" w:space="0" w:color="auto"/>
            <w:bottom w:val="none" w:sz="0" w:space="0" w:color="auto"/>
            <w:right w:val="none" w:sz="0" w:space="0" w:color="auto"/>
          </w:divBdr>
        </w:div>
        <w:div w:id="1693921201">
          <w:marLeft w:val="0"/>
          <w:marRight w:val="0"/>
          <w:marTop w:val="0"/>
          <w:marBottom w:val="0"/>
          <w:divBdr>
            <w:top w:val="none" w:sz="0" w:space="0" w:color="auto"/>
            <w:left w:val="none" w:sz="0" w:space="0" w:color="auto"/>
            <w:bottom w:val="none" w:sz="0" w:space="0" w:color="auto"/>
            <w:right w:val="none" w:sz="0" w:space="0" w:color="auto"/>
          </w:divBdr>
        </w:div>
        <w:div w:id="508565353">
          <w:marLeft w:val="0"/>
          <w:marRight w:val="0"/>
          <w:marTop w:val="0"/>
          <w:marBottom w:val="0"/>
          <w:divBdr>
            <w:top w:val="none" w:sz="0" w:space="0" w:color="auto"/>
            <w:left w:val="none" w:sz="0" w:space="0" w:color="auto"/>
            <w:bottom w:val="none" w:sz="0" w:space="0" w:color="auto"/>
            <w:right w:val="none" w:sz="0" w:space="0" w:color="auto"/>
          </w:divBdr>
        </w:div>
        <w:div w:id="626741615">
          <w:marLeft w:val="0"/>
          <w:marRight w:val="0"/>
          <w:marTop w:val="0"/>
          <w:marBottom w:val="0"/>
          <w:divBdr>
            <w:top w:val="none" w:sz="0" w:space="0" w:color="auto"/>
            <w:left w:val="none" w:sz="0" w:space="0" w:color="auto"/>
            <w:bottom w:val="none" w:sz="0" w:space="0" w:color="auto"/>
            <w:right w:val="none" w:sz="0" w:space="0" w:color="auto"/>
          </w:divBdr>
        </w:div>
        <w:div w:id="897666884">
          <w:marLeft w:val="0"/>
          <w:marRight w:val="0"/>
          <w:marTop w:val="0"/>
          <w:marBottom w:val="0"/>
          <w:divBdr>
            <w:top w:val="none" w:sz="0" w:space="0" w:color="auto"/>
            <w:left w:val="none" w:sz="0" w:space="0" w:color="auto"/>
            <w:bottom w:val="none" w:sz="0" w:space="0" w:color="auto"/>
            <w:right w:val="none" w:sz="0" w:space="0" w:color="auto"/>
          </w:divBdr>
        </w:div>
        <w:div w:id="308363604">
          <w:marLeft w:val="0"/>
          <w:marRight w:val="0"/>
          <w:marTop w:val="0"/>
          <w:marBottom w:val="0"/>
          <w:divBdr>
            <w:top w:val="none" w:sz="0" w:space="0" w:color="auto"/>
            <w:left w:val="none" w:sz="0" w:space="0" w:color="auto"/>
            <w:bottom w:val="none" w:sz="0" w:space="0" w:color="auto"/>
            <w:right w:val="none" w:sz="0" w:space="0" w:color="auto"/>
          </w:divBdr>
        </w:div>
        <w:div w:id="1144855680">
          <w:marLeft w:val="0"/>
          <w:marRight w:val="0"/>
          <w:marTop w:val="0"/>
          <w:marBottom w:val="0"/>
          <w:divBdr>
            <w:top w:val="none" w:sz="0" w:space="0" w:color="auto"/>
            <w:left w:val="none" w:sz="0" w:space="0" w:color="auto"/>
            <w:bottom w:val="none" w:sz="0" w:space="0" w:color="auto"/>
            <w:right w:val="none" w:sz="0" w:space="0" w:color="auto"/>
          </w:divBdr>
        </w:div>
        <w:div w:id="1593660785">
          <w:marLeft w:val="0"/>
          <w:marRight w:val="0"/>
          <w:marTop w:val="0"/>
          <w:marBottom w:val="0"/>
          <w:divBdr>
            <w:top w:val="none" w:sz="0" w:space="0" w:color="auto"/>
            <w:left w:val="none" w:sz="0" w:space="0" w:color="auto"/>
            <w:bottom w:val="none" w:sz="0" w:space="0" w:color="auto"/>
            <w:right w:val="none" w:sz="0" w:space="0" w:color="auto"/>
          </w:divBdr>
        </w:div>
        <w:div w:id="1748920509">
          <w:marLeft w:val="0"/>
          <w:marRight w:val="0"/>
          <w:marTop w:val="0"/>
          <w:marBottom w:val="0"/>
          <w:divBdr>
            <w:top w:val="none" w:sz="0" w:space="0" w:color="auto"/>
            <w:left w:val="none" w:sz="0" w:space="0" w:color="auto"/>
            <w:bottom w:val="none" w:sz="0" w:space="0" w:color="auto"/>
            <w:right w:val="none" w:sz="0" w:space="0" w:color="auto"/>
          </w:divBdr>
        </w:div>
        <w:div w:id="904098049">
          <w:marLeft w:val="0"/>
          <w:marRight w:val="0"/>
          <w:marTop w:val="0"/>
          <w:marBottom w:val="0"/>
          <w:divBdr>
            <w:top w:val="none" w:sz="0" w:space="0" w:color="auto"/>
            <w:left w:val="none" w:sz="0" w:space="0" w:color="auto"/>
            <w:bottom w:val="none" w:sz="0" w:space="0" w:color="auto"/>
            <w:right w:val="none" w:sz="0" w:space="0" w:color="auto"/>
          </w:divBdr>
        </w:div>
        <w:div w:id="1686327695">
          <w:marLeft w:val="0"/>
          <w:marRight w:val="0"/>
          <w:marTop w:val="0"/>
          <w:marBottom w:val="0"/>
          <w:divBdr>
            <w:top w:val="none" w:sz="0" w:space="0" w:color="auto"/>
            <w:left w:val="none" w:sz="0" w:space="0" w:color="auto"/>
            <w:bottom w:val="none" w:sz="0" w:space="0" w:color="auto"/>
            <w:right w:val="none" w:sz="0" w:space="0" w:color="auto"/>
          </w:divBdr>
        </w:div>
        <w:div w:id="1890995208">
          <w:marLeft w:val="0"/>
          <w:marRight w:val="0"/>
          <w:marTop w:val="0"/>
          <w:marBottom w:val="0"/>
          <w:divBdr>
            <w:top w:val="none" w:sz="0" w:space="0" w:color="auto"/>
            <w:left w:val="none" w:sz="0" w:space="0" w:color="auto"/>
            <w:bottom w:val="none" w:sz="0" w:space="0" w:color="auto"/>
            <w:right w:val="none" w:sz="0" w:space="0" w:color="auto"/>
          </w:divBdr>
        </w:div>
        <w:div w:id="8066626">
          <w:marLeft w:val="0"/>
          <w:marRight w:val="0"/>
          <w:marTop w:val="0"/>
          <w:marBottom w:val="0"/>
          <w:divBdr>
            <w:top w:val="none" w:sz="0" w:space="0" w:color="auto"/>
            <w:left w:val="none" w:sz="0" w:space="0" w:color="auto"/>
            <w:bottom w:val="none" w:sz="0" w:space="0" w:color="auto"/>
            <w:right w:val="none" w:sz="0" w:space="0" w:color="auto"/>
          </w:divBdr>
        </w:div>
        <w:div w:id="1589462514">
          <w:marLeft w:val="0"/>
          <w:marRight w:val="0"/>
          <w:marTop w:val="0"/>
          <w:marBottom w:val="0"/>
          <w:divBdr>
            <w:top w:val="none" w:sz="0" w:space="0" w:color="auto"/>
            <w:left w:val="none" w:sz="0" w:space="0" w:color="auto"/>
            <w:bottom w:val="none" w:sz="0" w:space="0" w:color="auto"/>
            <w:right w:val="none" w:sz="0" w:space="0" w:color="auto"/>
          </w:divBdr>
        </w:div>
        <w:div w:id="1727415788">
          <w:marLeft w:val="0"/>
          <w:marRight w:val="0"/>
          <w:marTop w:val="0"/>
          <w:marBottom w:val="0"/>
          <w:divBdr>
            <w:top w:val="none" w:sz="0" w:space="0" w:color="auto"/>
            <w:left w:val="none" w:sz="0" w:space="0" w:color="auto"/>
            <w:bottom w:val="none" w:sz="0" w:space="0" w:color="auto"/>
            <w:right w:val="none" w:sz="0" w:space="0" w:color="auto"/>
          </w:divBdr>
        </w:div>
        <w:div w:id="2022004338">
          <w:marLeft w:val="0"/>
          <w:marRight w:val="0"/>
          <w:marTop w:val="0"/>
          <w:marBottom w:val="0"/>
          <w:divBdr>
            <w:top w:val="none" w:sz="0" w:space="0" w:color="auto"/>
            <w:left w:val="none" w:sz="0" w:space="0" w:color="auto"/>
            <w:bottom w:val="none" w:sz="0" w:space="0" w:color="auto"/>
            <w:right w:val="none" w:sz="0" w:space="0" w:color="auto"/>
          </w:divBdr>
        </w:div>
        <w:div w:id="2013530682">
          <w:marLeft w:val="0"/>
          <w:marRight w:val="0"/>
          <w:marTop w:val="0"/>
          <w:marBottom w:val="0"/>
          <w:divBdr>
            <w:top w:val="none" w:sz="0" w:space="0" w:color="auto"/>
            <w:left w:val="none" w:sz="0" w:space="0" w:color="auto"/>
            <w:bottom w:val="none" w:sz="0" w:space="0" w:color="auto"/>
            <w:right w:val="none" w:sz="0" w:space="0" w:color="auto"/>
          </w:divBdr>
        </w:div>
        <w:div w:id="1543325647">
          <w:marLeft w:val="0"/>
          <w:marRight w:val="0"/>
          <w:marTop w:val="0"/>
          <w:marBottom w:val="0"/>
          <w:divBdr>
            <w:top w:val="none" w:sz="0" w:space="0" w:color="auto"/>
            <w:left w:val="none" w:sz="0" w:space="0" w:color="auto"/>
            <w:bottom w:val="none" w:sz="0" w:space="0" w:color="auto"/>
            <w:right w:val="none" w:sz="0" w:space="0" w:color="auto"/>
          </w:divBdr>
        </w:div>
        <w:div w:id="170308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xch.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Company>China</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赵培文</dc:creator>
  <cp:keywords/>
  <dc:description/>
  <cp:lastModifiedBy>赵培文</cp:lastModifiedBy>
  <cp:revision>3</cp:revision>
  <dcterms:created xsi:type="dcterms:W3CDTF">2018-04-17T05:47:00Z</dcterms:created>
  <dcterms:modified xsi:type="dcterms:W3CDTF">2018-04-17T05:47:00Z</dcterms:modified>
</cp:coreProperties>
</file>