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530" w:firstLineChars="700"/>
        <w:rPr>
          <w:rStyle w:val="7"/>
          <w:sz w:val="36"/>
          <w:szCs w:val="36"/>
        </w:rPr>
      </w:pPr>
      <w:bookmarkStart w:id="0" w:name="_GoBack"/>
      <w:r>
        <w:rPr>
          <w:rStyle w:val="7"/>
          <w:rFonts w:hint="eastAsia"/>
          <w:sz w:val="36"/>
          <w:szCs w:val="36"/>
        </w:rPr>
        <w:t>西城区园林绿化局</w:t>
      </w:r>
    </w:p>
    <w:p>
      <w:pPr>
        <w:pStyle w:val="4"/>
        <w:ind w:firstLine="1446" w:firstLineChars="400"/>
        <w:rPr>
          <w:sz w:val="32"/>
          <w:szCs w:val="32"/>
        </w:rPr>
      </w:pPr>
      <w:r>
        <w:rPr>
          <w:rStyle w:val="7"/>
          <w:rFonts w:hint="eastAsia"/>
          <w:sz w:val="36"/>
          <w:szCs w:val="36"/>
        </w:rPr>
        <w:t xml:space="preserve">2018年政府信息公开工作年度报告 </w:t>
      </w:r>
      <w:r>
        <w:rPr>
          <w:rFonts w:hint="eastAsia" w:ascii="仿宋" w:hAnsi="仿宋" w:eastAsia="仿宋"/>
          <w:sz w:val="36"/>
          <w:szCs w:val="36"/>
        </w:rPr>
        <w:br w:type="textWrapping"/>
      </w:r>
      <w:bookmarkEnd w:id="0"/>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2019年3月 </w:t>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t xml:space="preserve">    本报告是根据《中华人民共和国政府信息公开条例》和《北京市政府信息公开规定》要求，由西城区园林绿化局编制的2018年度政府信息公开工作年度报告。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全文包括西城区园林绿化局政府信息和政务公开2018年度重点工作情况、信息公开数据情况、存在的不足及2019年重点工作，以及主动公开、回应解读、依申请公开（含不予公开、收费及减免）、行政复议、行政诉讼、举报等政府信息公开相关数据。 </w:t>
      </w:r>
      <w:r>
        <w:rPr>
          <w:rFonts w:hint="eastAsia" w:ascii="仿宋" w:hAnsi="仿宋" w:eastAsia="仿宋"/>
          <w:sz w:val="32"/>
          <w:szCs w:val="32"/>
        </w:rPr>
        <w:br w:type="textWrapping"/>
      </w:r>
      <w:r>
        <w:rPr>
          <w:rFonts w:hint="eastAsia"/>
          <w:sz w:val="32"/>
          <w:szCs w:val="32"/>
        </w:rPr>
        <w:t xml:space="preserve">   </w:t>
      </w:r>
      <w:r>
        <w:rPr>
          <w:rFonts w:hint="eastAsia" w:ascii="仿宋" w:hAnsi="仿宋" w:eastAsia="仿宋"/>
          <w:sz w:val="32"/>
          <w:szCs w:val="32"/>
        </w:rPr>
        <w:t xml:space="preserve">本报告中所列数据的统计期限自2018年1月1日起，至2018年12月31日止。本报告电子版可在区政府网站 （http://www.bjxch.gov.cn）信息公开专栏上下载。如对本报告有任何疑问，请联系：西城区园林绿化局办公室。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联系地址：北京市西城区槐柏树街12号（宣武艺园东侧）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联系电话：010—68021036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电子邮箱：xcqyllhj@bjxch.gov.cn </w:t>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t xml:space="preserve">    2018年，区园林绿化局全面贯彻落实党的十九大和十九届二中、三中全会精神，以习近平新时代中国特色社会主义思想为指导，牢固树立“四个意识”，坚持以人民为中心的发展思想，牢牢把握首都核心区战略定位，认真贯彻落实《中华人民共和国政府信息公开条例》和各级政务公开相关系列部署要求，围绕“惠民便民、提升公信”，不断创新政务公开工作思路，持续推进法治政府和服务型政府建设，着力提升政府信息和政务公开工作实效，增进公众对政府工作的认同和支持，助力园林绿化事业健康持续发展。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一、政府信息和政务公开主要工作情况 </w:t>
      </w:r>
      <w:r>
        <w:rPr>
          <w:rFonts w:hint="eastAsia" w:ascii="仿宋" w:hAnsi="仿宋" w:eastAsia="仿宋"/>
          <w:sz w:val="32"/>
          <w:szCs w:val="32"/>
        </w:rPr>
        <w:br w:type="textWrapping"/>
      </w:r>
      <w:r>
        <w:rPr>
          <w:rStyle w:val="7"/>
          <w:rFonts w:hint="eastAsia"/>
          <w:sz w:val="32"/>
          <w:szCs w:val="32"/>
        </w:rPr>
        <w:t xml:space="preserve">  </w:t>
      </w:r>
      <w:r>
        <w:rPr>
          <w:rStyle w:val="7"/>
          <w:rFonts w:hint="eastAsia" w:ascii="仿宋" w:hAnsi="仿宋" w:eastAsia="仿宋"/>
          <w:sz w:val="32"/>
          <w:szCs w:val="32"/>
        </w:rPr>
        <w:t xml:space="preserve">（一）围绕重点工作加大主动公开力度 </w:t>
      </w:r>
      <w:r>
        <w:rPr>
          <w:rFonts w:hint="eastAsia" w:ascii="仿宋" w:hAnsi="仿宋" w:eastAsia="仿宋"/>
          <w:b/>
          <w:bCs/>
          <w:sz w:val="32"/>
          <w:szCs w:val="32"/>
        </w:rPr>
        <w:br w:type="textWrapping"/>
      </w:r>
      <w:r>
        <w:rPr>
          <w:rStyle w:val="7"/>
          <w:rFonts w:hint="eastAsia"/>
          <w:sz w:val="32"/>
          <w:szCs w:val="32"/>
        </w:rPr>
        <w:t>  </w:t>
      </w:r>
      <w:r>
        <w:rPr>
          <w:rStyle w:val="7"/>
          <w:rFonts w:hint="eastAsia" w:ascii="仿宋" w:hAnsi="仿宋" w:eastAsia="仿宋"/>
          <w:sz w:val="32"/>
          <w:szCs w:val="32"/>
        </w:rPr>
        <w:t>围绕全年各项绿化任务指标进行公开。</w:t>
      </w:r>
      <w:r>
        <w:rPr>
          <w:rFonts w:hint="eastAsia" w:ascii="仿宋" w:hAnsi="仿宋" w:eastAsia="仿宋"/>
          <w:sz w:val="32"/>
          <w:szCs w:val="32"/>
        </w:rPr>
        <w:t>针对核心区土地资源紧张、人口密集、绿量不足的现状，紧抓“疏整促”和街区整理的有利契机，因地制宜“留白增绿”，大幅拓展绿色生态空间，做好“绿”“水”文章，营造慢享生活“生态客厅”，及时进行信息公开，发信息至区政府信息公开专栏、市园林局信息网站（采用13篇）、《绿化与生活》杂志和区城管委、环境办。2018年新增城市绿地8.37公顷，其中新建常乐坊、小马厂逸清园2处“城市森林”，新建20处口袋公园、39处微绿地、3处附属绿地，新建西海湿地公园，全区公园绿地500%服务半径覆盖率达到96.36%。国庆节前，在《北京日报》刊登题为“创新生态理念</w:t>
      </w:r>
      <w:r>
        <w:rPr>
          <w:rFonts w:hint="eastAsia"/>
          <w:sz w:val="32"/>
          <w:szCs w:val="32"/>
        </w:rPr>
        <w:t> </w:t>
      </w:r>
      <w:r>
        <w:rPr>
          <w:rFonts w:hint="eastAsia" w:ascii="仿宋" w:hAnsi="仿宋" w:eastAsia="仿宋"/>
          <w:sz w:val="32"/>
          <w:szCs w:val="32"/>
        </w:rPr>
        <w:t xml:space="preserve"> 绿意布满西城”的整版报道，图文并茂的展示区园林绿化建设成果，并利用“北京西城”官方微信平台分期推送城市森林、口袋公园等建设情况，取得了理想的宣传效果。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加强绿化资源保护管理情况公开。</w:t>
      </w:r>
      <w:r>
        <w:rPr>
          <w:rFonts w:hint="eastAsia" w:ascii="仿宋" w:hAnsi="仿宋" w:eastAsia="仿宋"/>
          <w:sz w:val="32"/>
          <w:szCs w:val="32"/>
        </w:rPr>
        <w:t xml:space="preserve">及时公开以开展综合检查评比为抓手，努力破解居住区、单位、街巷，特别是老旧小区的绿化管理难题的做法；开展“百万鲜花进家庭、进社区、进街巷”，园艺文化推广及义务植树和树木认建认养活动、古树名木保护与检查进展情况；安全生产管理情况；依法治绿情况等等。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充分利用政务新媒体实行公开</w:t>
      </w:r>
      <w:r>
        <w:rPr>
          <w:rFonts w:hint="eastAsia" w:ascii="仿宋" w:hAnsi="仿宋" w:eastAsia="仿宋"/>
          <w:sz w:val="32"/>
          <w:szCs w:val="32"/>
        </w:rPr>
        <w:t xml:space="preserve">。“绿色西城”微信公众号是由西城区园林绿化局、西城区园林市政管理中心主办，北京涵意科技有限公司承办并运行的传播园林园艺知识、倡导绿色生活方式、带动市民参与共建绿色生态西城的网络平台。公众号主要栏目有“绿色课堂”“绿色社区”“绿色风采”三大板块，定期推送相关园艺文化知识、日常活动信息和活动通知。公众号定期更新以及推送相关工作，内容形式丰富多样，设有社区论坛栏目，居民群众可以参与互动，上传与园艺相关内容的照片和文章，提高公众参与绿化美化的积极性。2018年共开展园艺文化推广活动690场，公众号发文619篇，其中园林驿站活动154篇发至政府信息公开专栏。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推进依法行政信息公开。</w:t>
      </w:r>
      <w:r>
        <w:rPr>
          <w:rFonts w:hint="eastAsia" w:ascii="仿宋" w:hAnsi="仿宋" w:eastAsia="仿宋"/>
          <w:sz w:val="32"/>
          <w:szCs w:val="32"/>
        </w:rPr>
        <w:t xml:space="preserve">根据《北京市园林绿化局印发加强新一轮百万亩造林绿化工程苗木质量管理的通知》要求，高度重视林木种苗工作，将苗木质量管理工作作为新一轮百万亩造林绿化工作的重中之重，下大力气抓好监管的各个环节，确保苗木质量和工程质量，在政府信息公开专栏工作动态中定期发布《西城区苗木质量管理“四公开”》。2018年，公开各类行政审批事项602项，办理人大建议1件、政协提案10件，处理12345群众来电75件、12341群众来电235件，办理依申请公开3件，接待群众电话、网络、现场咨询2000多人次。按照审批“一科制”的要求，将行政审批职能全部调整到规划建设科，减少交叉，提高办事效率。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 （二）持续推进政务工作公开透明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创新开展政民互动工作。按照上级转变工作作风的要求，整合资源，力求减会，将会议开放与向公众报告合并举办，于7月20日和11月6 日两次组织召开局长办公会暨向公众报告工作会，邀请区人大代表、政协委员和街道办事处、辖区企业、社区等代表参加，报告全区园林绿化工作情况，与代表互动，现场回应解答问题，征集大家的意见和建议，收到良好的效果。局主要领导参加接听12341热线咨询服务和区“两会”新闻发布会，积极回应社会关注，办好百姓身边事，充分体现了“开放促共识，沟通赢理解”的宗旨。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政府开放日活动有声有色。</w:t>
      </w:r>
      <w:r>
        <w:rPr>
          <w:rFonts w:hint="eastAsia" w:ascii="仿宋" w:hAnsi="仿宋" w:eastAsia="仿宋"/>
          <w:sz w:val="32"/>
          <w:szCs w:val="32"/>
        </w:rPr>
        <w:t xml:space="preserve">为让辖区居民更加全面、直观地了解政府部门的工作和西城区绿化环境的变化，组织居民代表参观逸清园城市森林和西海湿地公园，了解绿化环境建设成果，在参观中，局工作人员向居民代表们介绍西城区围绕“疏整促”和街区整理的有利契机，利用零散地块、边角地和拆违空地等土地资源进行城市森林、口袋公园、微绿地建设情况及园艺文化推广服务开展情况。居民代表表示，通过这次参观，切身感受到了疏解整治促提升给西城区城市环境带来的巨大变化，以后会更加爱绿护绿，为建设和谐宜居之都贡献自己的一份力量。 </w:t>
      </w:r>
    </w:p>
    <w:p>
      <w:pPr>
        <w:pStyle w:val="4"/>
        <w:spacing w:after="240"/>
        <w:rPr>
          <w:sz w:val="32"/>
          <w:szCs w:val="32"/>
        </w:rPr>
      </w:pPr>
      <w:r>
        <w:rPr>
          <w:rFonts w:hint="eastAsia"/>
          <w:sz w:val="32"/>
          <w:szCs w:val="32"/>
        </w:rPr>
        <w:t>  </w:t>
      </w:r>
      <w:r>
        <w:rPr>
          <w:rStyle w:val="7"/>
          <w:rFonts w:hint="eastAsia" w:ascii="仿宋" w:hAnsi="仿宋" w:eastAsia="仿宋"/>
          <w:sz w:val="32"/>
          <w:szCs w:val="32"/>
        </w:rPr>
        <w:t>实施绿化建设项目民意立项。</w:t>
      </w:r>
      <w:r>
        <w:rPr>
          <w:rFonts w:hint="eastAsia" w:ascii="仿宋" w:hAnsi="仿宋" w:eastAsia="仿宋"/>
          <w:sz w:val="32"/>
          <w:szCs w:val="32"/>
        </w:rPr>
        <w:t xml:space="preserve">针对全区城市森林、口袋公园等绿化建设项目，组织召开群众意见征集会，由设计单位向与社区居民代表、社工代表详细介绍建设方案，让公众更好地参与到民生实事办理中，使绿化成果更加符合民意。同时,结合“进千门，走万户”行动，组织开展“党员服务进背街小巷”主题党建活动，共150余人次深入8个街道21条胡同800余户居民家中，面对面与群众互动，征求意见和建议，强化公众参与，让重大绿化项目源自百姓呼声，合乎百姓利益，使绿化工作更加接地气、合民心，真正将绿化惠民落在实处。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（三）强化基础管理，逐步完善政务公开标准化、规范化体系 </w:t>
      </w:r>
      <w:r>
        <w:rPr>
          <w:rFonts w:hint="eastAsia" w:ascii="仿宋" w:hAnsi="仿宋" w:eastAsia="仿宋"/>
          <w:sz w:val="32"/>
          <w:szCs w:val="32"/>
        </w:rPr>
        <w:br w:type="textWrapping"/>
      </w:r>
      <w:r>
        <w:rPr>
          <w:rStyle w:val="7"/>
          <w:rFonts w:hint="eastAsia"/>
          <w:sz w:val="32"/>
          <w:szCs w:val="32"/>
        </w:rPr>
        <w:t>  </w:t>
      </w:r>
      <w:r>
        <w:rPr>
          <w:rStyle w:val="7"/>
          <w:rFonts w:hint="eastAsia" w:ascii="仿宋" w:hAnsi="仿宋" w:eastAsia="仿宋"/>
          <w:sz w:val="32"/>
          <w:szCs w:val="32"/>
        </w:rPr>
        <w:t>强化政务公开制度建设。</w:t>
      </w:r>
      <w:r>
        <w:rPr>
          <w:rFonts w:hint="eastAsia" w:ascii="仿宋" w:hAnsi="仿宋" w:eastAsia="仿宋"/>
          <w:sz w:val="32"/>
          <w:szCs w:val="32"/>
        </w:rPr>
        <w:t xml:space="preserve">局政务公开领导小组在试点工作中切实发挥组织、领导、协调作用，将园林绿化业务与政务公开工作紧密结合，深入落实会议开放、政府向公众报告和政府开放日等试点任务，推进公众参与和政民互动不断制度化、规范化。将政务公开工作列入党组学习议事内容，主要领导带头学习《北京市政府信息公开规定》和《西城区园林绿化局信息公开源头管理办法》等制度文件，定期召开会议听取政务公开工作情况汇报，高度关注市、区政务公开绩效考核及第三方评估工作，积极落实《一把手政务工作事项清单》。在日常工作中，定期组织干部学习市、区关于推行政府信息公开促进法治政府建设方面的相关文件，加强公文公开属性源头管理，将确定公开属性纳入公文办理流程，随公文同步审签，并严格执行信息发布保密审查。严格落实年报和数据报送制度，按时完成国办数据报送，编制2017年政府信息公开工作年度报告，完成北京市政府信息公开工作管理系统录入、月报等基础数据报送工作，配合区公开办编制完成部门公开指南，并做好动态管理。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完成全清单、资源共享资源调查表的编制工作。</w:t>
      </w:r>
      <w:r>
        <w:rPr>
          <w:rFonts w:hint="eastAsia" w:ascii="仿宋" w:hAnsi="仿宋" w:eastAsia="仿宋"/>
          <w:sz w:val="32"/>
          <w:szCs w:val="32"/>
        </w:rPr>
        <w:t xml:space="preserve">制定政务公开全清单是2018年全区政务公开工作的重点任务，是北京市政务公开工作、国务院试点的重点工作，是政务公开考核评估的重点内容。依据本局“三定”方案、权责清单以及实际工作职责，认真梳理，精心组织，按时完成《西城区园林绿化局政务公开全清单》编制上报工作。在区科信委具体指导下完成了《西城区园林局政务信息系统整合共享调查表》《西城区园林绿化局共享数据》《2018年政府信息与政务公开中期评估统计表》，有效推动了全局政务信息化建设模式优化。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加强对政府信息公开的审查管理。</w:t>
      </w:r>
      <w:r>
        <w:rPr>
          <w:rFonts w:hint="eastAsia" w:ascii="仿宋" w:hAnsi="仿宋" w:eastAsia="仿宋"/>
          <w:sz w:val="32"/>
          <w:szCs w:val="32"/>
        </w:rPr>
        <w:t xml:space="preserve">坚持“真实公正、注重实效、有利于监督”的原则，坚持做好信息公开发布保密审查、公文公开属性源头管理等，确保政务公开工作的规范化与制度化。对公开信息进行全面梳理，进一步明确公开的标准和严禁公开的内容，不断调整办事指南、机构信息等，在日常工作中建立并完善政务信息审核、签批制度和监督体制，做到信息公开管理有计划、有审核、有签批、有备案。为了避免产生行政败诉案件，针对依申请公开的信息，全部转交法制科由法律顾问进行合法性审核。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不断完善区政务公开网站。</w:t>
      </w:r>
      <w:r>
        <w:rPr>
          <w:rFonts w:hint="eastAsia" w:ascii="仿宋" w:hAnsi="仿宋" w:eastAsia="仿宋"/>
          <w:sz w:val="32"/>
          <w:szCs w:val="32"/>
        </w:rPr>
        <w:t xml:space="preserve">根据区政府统一要求，单位不单独开设门户网站，由区政府门户网站统一展现，实现信息、服务和互动资源的集中与共享。整合后申请开辟公园介绍（本区注册的27个公园概况） 、绿化成果（新建绿地、完成绿化项目、先进评选等）、绿化科普（园林创新成果、科学治绿项目、古树管理养护等）、义务植树（义务植树尽责形式、认建认养、购买碳汇、园林驿站活动等）、园艺推广中心（园林驿站活动）等特色栏目，构建栏目规范、高效运行、便民服务的网站。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认真办理依申请公开。</w:t>
      </w:r>
      <w:r>
        <w:rPr>
          <w:rFonts w:hint="eastAsia" w:ascii="仿宋" w:hAnsi="仿宋" w:eastAsia="仿宋"/>
          <w:sz w:val="32"/>
          <w:szCs w:val="32"/>
        </w:rPr>
        <w:t xml:space="preserve">把依申请公开工作作为检验依法行政情况的重要手段及行政机关加强自我监督、自我提升的重要途径。2018年共受理依申请事项3件，其中一件为申请获取2018年9月西城区园林绿化局对广济寺、历代帝王庙、万明园小区等古树名木检查工作的结果，另两件均为申请获取“2017年6月8日《西城区园林绿化局关于玺源台小区附属绿地建设的函》，根据《中华人民共和国政府信息公开条例》有关规定，三件申请信息可以公开，均依法依规予以及时答复，并免费提供所需资料。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落实人大代表建议和政协委员提案办理结果公开。</w:t>
      </w:r>
      <w:r>
        <w:rPr>
          <w:rFonts w:hint="eastAsia" w:ascii="仿宋" w:hAnsi="仿宋" w:eastAsia="仿宋"/>
          <w:sz w:val="32"/>
          <w:szCs w:val="32"/>
        </w:rPr>
        <w:t xml:space="preserve">认真贯彻落实区政府“2018年政府系统建议提案办理工作会议”精神，采取有效措施，紧紧围绕全区建设工作重点，结合园林绿化工作实践，认真办理、落实代表建议和委员提案。全年共承办区人大代表建议1件（单办1件），区政协委员提案10件（主办2件、会办8件），均已全部办结。代表、委员对办理工作结果全部表示满意。例如，针对一名人大代表提出的“关于在公园增设自动存衣柜的建议”，与各公园管理部门进行深入沟通、了解，并选取万寿公园作为试点，找寻专业公司进行实地勘察设计，制作相关的方案和资金预算，力争于2019年完成在万寿公园自动存衣柜的安装试行。针对一名政协委员提出的“关于西城区背街小巷治理的提案”，及时采取四项措施，一是见缝插绿，把绿植花箱引入街巷；二是因地制宜，让园艺推广走进院落；三是增绿添彩，为街巷居民送花到家；四是精细管理，使生活环境不断改善。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二、重点领域政府信息公开工作情况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依照《西城区重点领域政务公开清单（部门）》内容全面自查，严谨细致做好机构信息、权责清单、行政许可和行政处罚“双公示”、预决算（2017年度部门决算及三公经费、 2018年部门预算公开），以及制售假劣种子和侵犯植物新品种权行政处罚案件（2018年未产生处罚信息）等内容的公开工作，确保公开内容真实、准确。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三、信息公开数据 </w:t>
      </w:r>
      <w:r>
        <w:rPr>
          <w:rFonts w:hint="eastAsia" w:ascii="仿宋" w:hAnsi="仿宋" w:eastAsia="仿宋"/>
          <w:sz w:val="32"/>
          <w:szCs w:val="32"/>
        </w:rPr>
        <w:br w:type="textWrapping"/>
      </w:r>
      <w:r>
        <w:rPr>
          <w:rStyle w:val="7"/>
          <w:rFonts w:hint="eastAsia"/>
          <w:sz w:val="32"/>
          <w:szCs w:val="32"/>
        </w:rPr>
        <w:t xml:space="preserve">  </w:t>
      </w:r>
      <w:r>
        <w:rPr>
          <w:rStyle w:val="7"/>
          <w:rFonts w:hint="eastAsia" w:ascii="仿宋" w:hAnsi="仿宋" w:eastAsia="仿宋"/>
          <w:sz w:val="32"/>
          <w:szCs w:val="32"/>
        </w:rPr>
        <w:t xml:space="preserve">（一）主动公开情况 </w:t>
      </w:r>
      <w:r>
        <w:rPr>
          <w:rFonts w:hint="eastAsia" w:ascii="仿宋" w:hAnsi="仿宋" w:eastAsia="仿宋"/>
          <w:b/>
          <w:bCs/>
          <w:sz w:val="32"/>
          <w:szCs w:val="32"/>
        </w:rPr>
        <w:br w:type="textWrapping"/>
      </w:r>
      <w:r>
        <w:rPr>
          <w:rFonts w:hint="eastAsia"/>
          <w:sz w:val="32"/>
          <w:szCs w:val="32"/>
        </w:rPr>
        <w:t>  </w:t>
      </w:r>
      <w:r>
        <w:rPr>
          <w:rFonts w:hint="eastAsia" w:ascii="仿宋" w:hAnsi="仿宋" w:eastAsia="仿宋"/>
          <w:sz w:val="32"/>
          <w:szCs w:val="32"/>
        </w:rPr>
        <w:t xml:space="preserve">2018年主动公开政府信息数810件。其中行政许可信息450件，工作动态信息360件，含重点领域公开政府信息数2件（公开财政预算决算、“三公经费”和行政经费信息），均通过政府网站公开。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通过微信公众号发文619篇（含重复信息（园林驿站活动）、园林小知识、通知等）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（二）回应解读情况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局长高俊宏参加区委宣传部组织的“两会”新闻发布会1次。局长高俊宏于8月23日参加接听12341热线咨询服务，解答政策咨询，受理热线诉求。 </w:t>
      </w:r>
      <w:r>
        <w:rPr>
          <w:rFonts w:hint="eastAsia" w:ascii="仿宋" w:hAnsi="仿宋" w:eastAsia="仿宋"/>
          <w:sz w:val="32"/>
          <w:szCs w:val="32"/>
        </w:rPr>
        <w:br w:type="textWrapping"/>
      </w:r>
      <w:r>
        <w:rPr>
          <w:rFonts w:hint="eastAsia"/>
          <w:sz w:val="32"/>
          <w:szCs w:val="32"/>
        </w:rPr>
        <w:t xml:space="preserve">  </w:t>
      </w:r>
      <w:r>
        <w:rPr>
          <w:rStyle w:val="7"/>
          <w:rFonts w:hint="eastAsia" w:ascii="仿宋" w:hAnsi="仿宋" w:eastAsia="仿宋"/>
          <w:sz w:val="32"/>
          <w:szCs w:val="32"/>
        </w:rPr>
        <w:t xml:space="preserve">（三）依申请公开情况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1.申请情况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申请总数为3件，当面申请1件，占总数的33%；通过网络提交申请2件，占总数的67%。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2.答复情况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3件申请共涉及申请事项2项，已到答复期的3项申请事项全部按期答复。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已答复的3项申请中：申请内容明确，可以答复是否公开的共3项（占总数的100%）。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其中：“属于已主动公开范围”1项，占总数的33%；“同意公开”2项，占总数的67%；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依照市有关规定，所需资料均免费提供，未收取任何依申请公开政府信息费用。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（四）行政复议、诉讼及举报情况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本单位2018年未产生行政复议和行政诉讼案件。 </w:t>
      </w:r>
      <w:r>
        <w:rPr>
          <w:rFonts w:hint="eastAsia" w:ascii="仿宋" w:hAnsi="仿宋" w:eastAsia="仿宋"/>
          <w:sz w:val="32"/>
          <w:szCs w:val="32"/>
        </w:rPr>
        <w:br w:type="textWrapping"/>
      </w:r>
      <w:r>
        <w:rPr>
          <w:rFonts w:hint="eastAsia"/>
          <w:sz w:val="32"/>
          <w:szCs w:val="32"/>
        </w:rPr>
        <w:t xml:space="preserve">  </w:t>
      </w:r>
      <w:r>
        <w:rPr>
          <w:rStyle w:val="7"/>
          <w:rFonts w:hint="eastAsia" w:ascii="仿宋" w:hAnsi="仿宋" w:eastAsia="仿宋"/>
          <w:sz w:val="32"/>
          <w:szCs w:val="32"/>
        </w:rPr>
        <w:t xml:space="preserve">（五）机构建设及保障培训情况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本局政府信息公开工作专门机构数为1个，设在办公室；政府信息公开查阅点数1个；从事政府信息公开兼职工作人员1名；政府信息公开经费无法单独区分；全年召开有关政府信息公开工作会议2次，参加市区培训人员数7人次；领导及工作人员按时按要求参加区公开办组织的各类会议，工作人员积极参加依申请公开沙龙等业务培训，利用党组会、局长办公会，对市区重点政务公开工作进行布置，明确标准要求，不断增强公开意识，夯实工作基础，提升业务水平，促进全局政务公开工作的日常化、制度化、规范化。 </w:t>
      </w:r>
      <w:r>
        <w:rPr>
          <w:rFonts w:hint="eastAsia" w:ascii="仿宋" w:hAnsi="仿宋" w:eastAsia="仿宋"/>
          <w:sz w:val="32"/>
          <w:szCs w:val="32"/>
        </w:rPr>
        <w:br w:type="textWrapping"/>
      </w:r>
      <w:r>
        <w:rPr>
          <w:rFonts w:hint="eastAsia"/>
          <w:sz w:val="32"/>
          <w:szCs w:val="32"/>
        </w:rPr>
        <w:t>  </w:t>
      </w:r>
      <w:r>
        <w:rPr>
          <w:rStyle w:val="7"/>
          <w:rFonts w:hint="eastAsia" w:ascii="仿宋" w:hAnsi="仿宋" w:eastAsia="仿宋"/>
          <w:sz w:val="32"/>
          <w:szCs w:val="32"/>
        </w:rPr>
        <w:t xml:space="preserve"> 四、存在的不足及2019年重点工作 </w:t>
      </w:r>
      <w:r>
        <w:rPr>
          <w:rFonts w:hint="eastAsia" w:ascii="仿宋" w:hAnsi="仿宋" w:eastAsia="仿宋"/>
          <w:sz w:val="32"/>
          <w:szCs w:val="32"/>
        </w:rPr>
        <w:br w:type="textWrapping"/>
      </w:r>
      <w:r>
        <w:rPr>
          <w:rStyle w:val="7"/>
          <w:rFonts w:hint="eastAsia"/>
          <w:sz w:val="32"/>
          <w:szCs w:val="32"/>
        </w:rPr>
        <w:t> </w:t>
      </w:r>
      <w:r>
        <w:rPr>
          <w:rStyle w:val="7"/>
          <w:rFonts w:hint="eastAsia" w:ascii="仿宋" w:hAnsi="仿宋" w:eastAsia="仿宋"/>
          <w:sz w:val="32"/>
          <w:szCs w:val="32"/>
        </w:rPr>
        <w:t xml:space="preserve">  （一）存在的不足 </w:t>
      </w:r>
      <w:r>
        <w:rPr>
          <w:rFonts w:hint="eastAsia" w:ascii="仿宋" w:hAnsi="仿宋" w:eastAsia="仿宋"/>
          <w:b/>
          <w:bCs/>
          <w:sz w:val="32"/>
          <w:szCs w:val="32"/>
        </w:rPr>
        <w:br w:type="textWrapping"/>
      </w:r>
      <w:r>
        <w:rPr>
          <w:rFonts w:hint="eastAsia"/>
          <w:sz w:val="32"/>
          <w:szCs w:val="32"/>
        </w:rPr>
        <w:t>  </w:t>
      </w:r>
      <w:r>
        <w:rPr>
          <w:rFonts w:hint="eastAsia" w:ascii="仿宋" w:hAnsi="仿宋" w:eastAsia="仿宋"/>
          <w:sz w:val="32"/>
          <w:szCs w:val="32"/>
        </w:rPr>
        <w:t xml:space="preserve"> 一是全局政府信息和政务公开意识还有待加强，部分科室上报信息不及时或数量较少，主动公开意识不强，对公开工作的理解与认识还不深入，需要进一步加大政务公开工作推进力度。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二是工作机制还有不完善之处，如工作还不够严谨细致，审查还不够到位，致使出现发布信息有错别字或文理不顺、依申请信函未能及时接收办理等情况。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三是组织会议开放、政府向公众报告、政府开放日等全国试点任务的形式和内容有待创新，水平有待进一步提升。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w:t>
      </w:r>
      <w:r>
        <w:rPr>
          <w:rStyle w:val="7"/>
          <w:rFonts w:hint="eastAsia" w:ascii="仿宋" w:hAnsi="仿宋" w:eastAsia="仿宋"/>
          <w:sz w:val="32"/>
          <w:szCs w:val="32"/>
        </w:rPr>
        <w:t xml:space="preserve">（二）2019年重点工作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一是深化政民互动与公众参与，全力做好会议开放、政务开放日、政府向公众报告、民生工作民意立项和新闻发布等工作，积极诠释政府信息，促进政府与公众实时、“面对面”交流，增强政务公开的广度、深度、参与度，提升政务公开的制度化、标准化、信息化水平, 进一步畅通联系基层、服务百姓渠道，让政府工作更加公开透明,赢得人民群众更多理解、信任和支持,推动政务公开工作迈上新台阶。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二是围绕新修订《政府信息公开条例》的理解和适用，积极参加业务培训，并做好本单位的宣传贯彻，依法合规办理公众向本单位提出的申请，有效满足公众政府信息需求，进一步提升落实政府信息公开法定义务的能力。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三是积极做好政策解读，依照《西城区行政机关政策性文件公开、发布、解读、预公开和政民互动直播办法（试行）》，创新解读形式，充分运用网站、新闻发布会、政府重要会议和政务新媒体等渠道，全面解读宣传分析社会关注、百姓期待的园林绿化项目，将“政策语言”转化为“群众语言”，切实增强政策的亲和力、引导力、传播力、影响力。 </w:t>
      </w:r>
      <w:r>
        <w:rPr>
          <w:rFonts w:hint="eastAsia" w:ascii="仿宋" w:hAnsi="仿宋" w:eastAsia="仿宋"/>
          <w:sz w:val="32"/>
          <w:szCs w:val="32"/>
        </w:rPr>
        <w:br w:type="textWrapping"/>
      </w:r>
      <w:r>
        <w:rPr>
          <w:rFonts w:hint="eastAsia"/>
          <w:sz w:val="32"/>
          <w:szCs w:val="32"/>
        </w:rPr>
        <w:t>  </w:t>
      </w:r>
      <w:r>
        <w:rPr>
          <w:rFonts w:hint="eastAsia" w:ascii="仿宋" w:hAnsi="仿宋" w:eastAsia="仿宋"/>
          <w:sz w:val="32"/>
          <w:szCs w:val="32"/>
        </w:rPr>
        <w:t xml:space="preserve"> 四是加强政府网站栏目建设和信息内容保障，依照国办、市、区有关政府网站普查及考核要求，完善信息公开专栏各栏目信息内容建设和信息发布更新机制，做好办事服务和便民服务事项的更新维护工作，提高内容保障水平；严格采集、审核、报送、传递等环节程序，确保信息内容合法、完整、准确、及时。 </w:t>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br w:type="textWrapping"/>
      </w:r>
    </w:p>
    <w:p>
      <w:pPr>
        <w:rPr>
          <w:rFonts w:hint="eastAsia"/>
          <w:sz w:val="32"/>
          <w:szCs w:val="32"/>
        </w:rPr>
      </w:pPr>
    </w:p>
    <w:p>
      <w:pPr>
        <w:rPr>
          <w:rFonts w:hint="eastAsia"/>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附件：</w:t>
      </w:r>
    </w:p>
    <w:tbl>
      <w:tblPr>
        <w:tblStyle w:val="5"/>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noWrap/>
            <w:vAlign w:val="center"/>
          </w:tcPr>
          <w:p>
            <w:pPr>
              <w:widowControl/>
              <w:jc w:val="left"/>
              <w:rPr>
                <w:rFonts w:ascii="仿宋" w:hAnsi="仿宋" w:eastAsia="仿宋" w:cs="宋体"/>
                <w:b/>
                <w:kern w:val="0"/>
                <w:sz w:val="32"/>
                <w:szCs w:val="32"/>
              </w:rPr>
            </w:pPr>
          </w:p>
        </w:tc>
        <w:tc>
          <w:tcPr>
            <w:tcW w:w="760" w:type="dxa"/>
            <w:gridSpan w:val="2"/>
            <w:noWrap/>
            <w:vAlign w:val="center"/>
          </w:tcPr>
          <w:p>
            <w:pPr>
              <w:widowControl/>
              <w:jc w:val="center"/>
              <w:rPr>
                <w:rFonts w:ascii="仿宋" w:hAnsi="仿宋" w:eastAsia="仿宋" w:cs="宋体"/>
                <w:b/>
                <w:kern w:val="0"/>
                <w:sz w:val="32"/>
                <w:szCs w:val="32"/>
              </w:rPr>
            </w:pPr>
          </w:p>
        </w:tc>
        <w:tc>
          <w:tcPr>
            <w:tcW w:w="1325" w:type="dxa"/>
            <w:gridSpan w:val="2"/>
            <w:noWrap/>
            <w:vAlign w:val="center"/>
          </w:tcPr>
          <w:p>
            <w:pPr>
              <w:widowControl/>
              <w:jc w:val="left"/>
              <w:rPr>
                <w:rFonts w:ascii="仿宋" w:hAnsi="仿宋" w:eastAsia="仿宋" w:cs="宋体"/>
                <w:b/>
                <w:kern w:val="0"/>
                <w:sz w:val="32"/>
                <w:szCs w:val="3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noWrap/>
            <w:vAlign w:val="center"/>
          </w:tcPr>
          <w:p>
            <w:pPr>
              <w:widowControl/>
              <w:ind w:firstLine="2731" w:firstLineChars="850"/>
              <w:rPr>
                <w:rFonts w:ascii="仿宋" w:hAnsi="仿宋" w:eastAsia="仿宋" w:cs="宋体"/>
                <w:b/>
                <w:kern w:val="0"/>
                <w:sz w:val="32"/>
                <w:szCs w:val="32"/>
              </w:rPr>
            </w:pPr>
            <w:r>
              <w:rPr>
                <w:rFonts w:hint="eastAsia" w:ascii="仿宋" w:hAnsi="仿宋" w:eastAsia="仿宋" w:cs="宋体"/>
                <w:b/>
                <w:kern w:val="0"/>
                <w:sz w:val="32"/>
                <w:szCs w:val="32"/>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noWrap/>
            <w:vAlign w:val="center"/>
          </w:tcPr>
          <w:p>
            <w:pPr>
              <w:widowControl/>
              <w:jc w:val="center"/>
              <w:rPr>
                <w:rFonts w:ascii="仿宋" w:hAnsi="仿宋" w:eastAsia="仿宋" w:cs="宋体"/>
                <w:b/>
                <w:kern w:val="0"/>
                <w:sz w:val="32"/>
                <w:szCs w:val="32"/>
              </w:rPr>
            </w:pPr>
            <w:r>
              <w:rPr>
                <w:rFonts w:hint="eastAsia" w:ascii="仿宋" w:hAnsi="仿宋" w:eastAsia="仿宋" w:cs="宋体"/>
                <w:b/>
                <w:kern w:val="0"/>
                <w:sz w:val="32"/>
                <w:szCs w:val="32"/>
              </w:rPr>
              <w:t>（ 2018年度）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noWrap/>
            <w:vAlign w:val="center"/>
          </w:tcPr>
          <w:p>
            <w:pPr>
              <w:widowControl/>
              <w:jc w:val="left"/>
              <w:rPr>
                <w:rFonts w:ascii="仿宋" w:hAnsi="仿宋" w:eastAsia="仿宋" w:cs="宋体"/>
                <w:kern w:val="0"/>
                <w:sz w:val="32"/>
                <w:szCs w:val="32"/>
              </w:rPr>
            </w:pPr>
          </w:p>
        </w:tc>
        <w:tc>
          <w:tcPr>
            <w:tcW w:w="720" w:type="dxa"/>
            <w:gridSpan w:val="2"/>
            <w:noWrap/>
            <w:vAlign w:val="center"/>
          </w:tcPr>
          <w:p>
            <w:pPr>
              <w:widowControl/>
              <w:jc w:val="center"/>
              <w:rPr>
                <w:rFonts w:ascii="仿宋" w:hAnsi="仿宋" w:eastAsia="仿宋" w:cs="宋体"/>
                <w:kern w:val="0"/>
                <w:sz w:val="32"/>
                <w:szCs w:val="32"/>
              </w:rPr>
            </w:pPr>
          </w:p>
        </w:tc>
        <w:tc>
          <w:tcPr>
            <w:tcW w:w="1080" w:type="dxa"/>
            <w:noWrap/>
            <w:vAlign w:val="center"/>
          </w:tcPr>
          <w:p>
            <w:pPr>
              <w:widowControl/>
              <w:jc w:val="left"/>
              <w:rPr>
                <w:rFonts w:ascii="仿宋" w:hAnsi="仿宋" w:eastAsia="仿宋" w:cs="宋体"/>
                <w:kern w:val="0"/>
                <w:sz w:val="32"/>
                <w:szCs w:val="3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填报单位（盖章）：西城区园林绿化局</w:t>
            </w:r>
          </w:p>
        </w:tc>
        <w:tc>
          <w:tcPr>
            <w:tcW w:w="720" w:type="dxa"/>
            <w:gridSpan w:val="2"/>
            <w:tcBorders>
              <w:top w:val="nil"/>
              <w:left w:val="nil"/>
              <w:bottom w:val="single" w:color="auto" w:sz="8" w:space="0"/>
              <w:right w:val="nil"/>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　</w:t>
            </w:r>
          </w:p>
        </w:tc>
        <w:tc>
          <w:tcPr>
            <w:tcW w:w="1080" w:type="dxa"/>
            <w:tcBorders>
              <w:top w:val="nil"/>
              <w:left w:val="nil"/>
              <w:bottom w:val="single" w:color="auto" w:sz="8" w:space="0"/>
              <w:right w:val="nil"/>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统 计 指 标</w:t>
            </w:r>
          </w:p>
        </w:tc>
        <w:tc>
          <w:tcPr>
            <w:tcW w:w="720" w:type="dxa"/>
            <w:gridSpan w:val="2"/>
            <w:tcBorders>
              <w:top w:val="single" w:color="auto" w:sz="8" w:space="0"/>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单位</w:t>
            </w:r>
          </w:p>
        </w:tc>
        <w:tc>
          <w:tcPr>
            <w:tcW w:w="1080" w:type="dxa"/>
            <w:tcBorders>
              <w:top w:val="single" w:color="auto" w:sz="8" w:space="0"/>
              <w:left w:val="nil"/>
              <w:bottom w:val="single" w:color="auto" w:sz="4" w:space="0"/>
              <w:right w:val="single" w:color="auto" w:sz="8"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（一）主动公开政府信息数</w:t>
            </w:r>
            <w:r>
              <w:rPr>
                <w:rFonts w:hint="eastAsia" w:ascii="仿宋" w:hAnsi="仿宋" w:eastAsia="仿宋" w:cs="宋体"/>
                <w:kern w:val="0"/>
                <w:sz w:val="24"/>
              </w:rPr>
              <w:br w:type="textWrapping"/>
            </w:r>
            <w:r>
              <w:rPr>
                <w:rFonts w:hint="eastAsia" w:ascii="仿宋" w:hAnsi="仿宋" w:eastAsia="仿宋"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810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（二）重点领域公开政府信息数</w:t>
            </w:r>
            <w:r>
              <w:rPr>
                <w:rFonts w:hint="eastAsia" w:ascii="仿宋" w:hAnsi="仿宋" w:eastAsia="仿宋" w:cs="宋体"/>
                <w:kern w:val="0"/>
                <w:sz w:val="24"/>
              </w:rPr>
              <w:br w:type="textWrapping"/>
            </w:r>
            <w:r>
              <w:rPr>
                <w:rFonts w:hint="eastAsia" w:ascii="仿宋" w:hAnsi="仿宋" w:eastAsia="仿宋"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2</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 w:hAnsi="仿宋" w:eastAsia="仿宋" w:cs="宋体"/>
                <w:kern w:val="0"/>
                <w:sz w:val="24"/>
                <w:szCs w:val="24"/>
              </w:rPr>
            </w:pPr>
            <w:r>
              <w:rPr>
                <w:rFonts w:hint="eastAsia" w:ascii="仿宋" w:hAnsi="仿宋" w:eastAsia="仿宋"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 w:hAnsi="仿宋" w:eastAsia="仿宋" w:cs="宋体"/>
                <w:kern w:val="0"/>
                <w:sz w:val="24"/>
                <w:szCs w:val="24"/>
              </w:rPr>
            </w:pPr>
            <w:r>
              <w:rPr>
                <w:rFonts w:hint="eastAsia" w:ascii="仿宋" w:hAnsi="仿宋" w:eastAsia="仿宋"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8" w:space="0"/>
              <w:right w:val="single" w:color="auto" w:sz="8" w:space="0"/>
            </w:tcBorders>
          </w:tcPr>
          <w:p>
            <w:pPr>
              <w:jc w:val="center"/>
              <w:rPr>
                <w:rFonts w:ascii="仿宋" w:hAnsi="仿宋" w:eastAsia="仿宋" w:cs="宋体"/>
                <w:b/>
                <w:kern w:val="0"/>
                <w:sz w:val="24"/>
                <w:szCs w:val="24"/>
              </w:rPr>
            </w:pPr>
          </w:p>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p>
        </w:tc>
        <w:tc>
          <w:tcPr>
            <w:tcW w:w="1080" w:type="dxa"/>
            <w:tcBorders>
              <w:top w:val="single" w:color="auto" w:sz="8" w:space="0"/>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810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　</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（一）回应公众关注热点或重大舆情数</w:t>
            </w:r>
            <w:r>
              <w:rPr>
                <w:rFonts w:hint="eastAsia" w:ascii="仿宋" w:hAnsi="仿宋" w:eastAsia="仿宋" w:cs="宋体"/>
                <w:kern w:val="0"/>
                <w:sz w:val="24"/>
              </w:rPr>
              <w:br w:type="textWrapping"/>
            </w:r>
            <w:r>
              <w:rPr>
                <w:rFonts w:hint="eastAsia" w:ascii="仿宋" w:hAnsi="仿宋" w:eastAsia="仿宋"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　</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篇</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　</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（一）收到申请数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1.当面申请数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2.传真申请数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3.网络申请数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4.信函申请数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（二）申请办结数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1.按时办结数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2.延期办结数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（三）申请答复数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2.同意公开答复数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4.不同意公开答复数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其中：涉及国家秘密</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涉及商业秘密</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single" w:color="auto" w:sz="4" w:space="0"/>
              <w:left w:val="nil"/>
              <w:bottom w:val="single" w:color="auto" w:sz="4" w:space="0"/>
              <w:right w:val="single" w:color="auto" w:sz="4"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ind w:left="2400" w:hanging="2400" w:hangingChars="1000"/>
              <w:jc w:val="left"/>
              <w:rPr>
                <w:rFonts w:ascii="仿宋" w:hAnsi="仿宋" w:eastAsia="仿宋" w:cs="宋体"/>
                <w:kern w:val="0"/>
                <w:sz w:val="24"/>
                <w:szCs w:val="24"/>
              </w:rPr>
            </w:pPr>
            <w:r>
              <w:rPr>
                <w:rFonts w:hint="eastAsia" w:ascii="仿宋" w:hAnsi="仿宋" w:eastAsia="仿宋"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不是《条例》所指政府信息</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法律法规规定的其他情形</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6.申请信息不存在数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四、行政复议数量</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（二）被依法纠错数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（三）其他情形数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五、行政诉讼数量</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（二）被依法纠错数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（三）其他情形数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六、举报投诉数量</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件</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七、依申请公开信息收取的费用</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万元</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　</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个</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个</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人</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人</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2.兼职人员数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人</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1</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 w:hAnsi="仿宋" w:eastAsia="仿宋" w:cs="宋体"/>
                <w:kern w:val="0"/>
                <w:sz w:val="24"/>
                <w:szCs w:val="24"/>
              </w:rPr>
            </w:pPr>
            <w:r>
              <w:rPr>
                <w:rFonts w:hint="eastAsia" w:ascii="仿宋" w:hAnsi="仿宋" w:eastAsia="仿宋"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万元</w:t>
            </w:r>
          </w:p>
        </w:tc>
        <w:tc>
          <w:tcPr>
            <w:tcW w:w="1080" w:type="dxa"/>
            <w:tcBorders>
              <w:top w:val="nil"/>
              <w:left w:val="nil"/>
              <w:bottom w:val="single" w:color="auto" w:sz="4" w:space="0"/>
              <w:right w:val="single" w:color="auto" w:sz="8" w:space="0"/>
            </w:tcBorders>
            <w:noWrap/>
          </w:tcPr>
          <w:p>
            <w:pPr>
              <w:jc w:val="center"/>
              <w:rPr>
                <w:rFonts w:ascii="仿宋" w:hAnsi="仿宋" w:eastAsia="仿宋" w:cs="Times New Roman"/>
                <w:b/>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noWrap/>
            <w:vAlign w:val="center"/>
          </w:tcPr>
          <w:p>
            <w:pPr>
              <w:widowControl/>
              <w:jc w:val="center"/>
              <w:rPr>
                <w:rFonts w:ascii="仿宋" w:hAnsi="仿宋" w:eastAsia="仿宋" w:cs="宋体"/>
                <w:kern w:val="0"/>
                <w:sz w:val="24"/>
                <w:szCs w:val="24"/>
              </w:rPr>
            </w:pP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次</w:t>
            </w:r>
          </w:p>
        </w:tc>
        <w:tc>
          <w:tcPr>
            <w:tcW w:w="1080" w:type="dxa"/>
            <w:tcBorders>
              <w:top w:val="nil"/>
              <w:left w:val="nil"/>
              <w:bottom w:val="single" w:color="auto" w:sz="4"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rPr>
              <w:t xml:space="preserve">  （三）接受培训人员数</w:t>
            </w:r>
          </w:p>
        </w:tc>
        <w:tc>
          <w:tcPr>
            <w:tcW w:w="720" w:type="dxa"/>
            <w:gridSpan w:val="2"/>
            <w:tcBorders>
              <w:top w:val="nil"/>
              <w:left w:val="nil"/>
              <w:bottom w:val="single" w:color="auto" w:sz="8" w:space="0"/>
              <w:right w:val="single" w:color="auto" w:sz="4"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人次</w:t>
            </w:r>
          </w:p>
        </w:tc>
        <w:tc>
          <w:tcPr>
            <w:tcW w:w="1080" w:type="dxa"/>
            <w:tcBorders>
              <w:top w:val="nil"/>
              <w:left w:val="nil"/>
              <w:bottom w:val="single" w:color="auto" w:sz="8" w:space="0"/>
              <w:right w:val="single" w:color="auto" w:sz="8" w:space="0"/>
            </w:tcBorders>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rPr>
              <w:t>7</w:t>
            </w:r>
          </w:p>
        </w:tc>
      </w:tr>
    </w:tbl>
    <w:p>
      <w:pPr>
        <w:spacing w:line="600" w:lineRule="exact"/>
        <w:rPr>
          <w:rFonts w:hint="eastAsia" w:ascii="仿宋" w:hAnsi="仿宋" w:eastAsia="仿宋" w:cs="Times New Roman"/>
          <w:sz w:val="24"/>
          <w:szCs w:val="24"/>
        </w:rPr>
      </w:pPr>
    </w:p>
    <w:p>
      <w:pPr>
        <w:rPr>
          <w:rFonts w:hint="eastAsia" w:ascii="Times New Roman" w:hAnsi="Times New Roman" w:eastAsia="宋体"/>
        </w:rPr>
      </w:pPr>
    </w:p>
    <w:p>
      <w:pPr>
        <w:rPr>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52"/>
    <w:rsid w:val="00745796"/>
    <w:rsid w:val="00990390"/>
    <w:rsid w:val="00B71343"/>
    <w:rsid w:val="00D53852"/>
    <w:rsid w:val="00DD1525"/>
    <w:rsid w:val="00F63D89"/>
    <w:rsid w:val="35A1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4211</Words>
  <Characters>4422</Characters>
  <Lines>1105</Lines>
  <Paragraphs>1438</Paragraphs>
  <TotalTime>18</TotalTime>
  <ScaleCrop>false</ScaleCrop>
  <LinksUpToDate>false</LinksUpToDate>
  <CharactersWithSpaces>7195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2019-03-18T04:26:00Z</dcterms:created>
  <dc:creator>HP</dc:creator>
  <cp:lastModifiedBy>HP</cp:lastModifiedBy>
  <cp:lastPrinted>2019-12-23T02:02:16Z</cp:lastPrinted>
  <dcterms:modified xsi:type="dcterms:W3CDTF">2019-12-23T02:03:01Z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