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档案预审提交材料</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仿宋" w:hAnsi="仿宋" w:eastAsia="仿宋"/>
          <w:sz w:val="28"/>
          <w:szCs w:val="28"/>
          <w:lang w:val="en-US" w:eastAsia="zh-CN"/>
        </w:rPr>
      </w:pPr>
      <w:r>
        <w:rPr>
          <w:rFonts w:hint="eastAsia" w:ascii="仿宋" w:hAnsi="仿宋" w:eastAsia="仿宋"/>
          <w:sz w:val="28"/>
          <w:szCs w:val="28"/>
          <w:lang w:eastAsia="zh-CN"/>
        </w:rPr>
        <w:t>以下材料均为电子版，通过政务平台、政务邮箱、</w:t>
      </w:r>
      <w:r>
        <w:rPr>
          <w:rFonts w:hint="eastAsia" w:ascii="仿宋" w:hAnsi="仿宋" w:eastAsia="仿宋"/>
          <w:sz w:val="28"/>
          <w:szCs w:val="28"/>
          <w:lang w:val="en-US" w:eastAsia="zh-CN"/>
        </w:rPr>
        <w:t>EMS邮寄方式提交。</w:t>
      </w: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一、简易情况需提交的材料</w:t>
      </w: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模板一：</w:t>
      </w:r>
    </w:p>
    <w:p>
      <w:pPr>
        <w:keepNext w:val="0"/>
        <w:keepLines w:val="0"/>
        <w:pageBreakBefore w:val="0"/>
        <w:widowControl w:val="0"/>
        <w:numPr>
          <w:ilvl w:val="0"/>
          <w:numId w:val="1"/>
        </w:numPr>
        <w:kinsoku/>
        <w:wordWrap/>
        <w:overflowPunct/>
        <w:topLinePunct w:val="0"/>
        <w:autoSpaceDE/>
        <w:autoSpaceDN/>
        <w:bidi w:val="0"/>
        <w:adjustRightInd/>
        <w:snapToGrid/>
        <w:ind w:left="280" w:hanging="280" w:hangingChars="1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从参加工作到退休一直在同一单</w:t>
      </w:r>
      <w:bookmarkStart w:id="0" w:name="_GoBack"/>
      <w:bookmarkEnd w:id="0"/>
      <w:r>
        <w:rPr>
          <w:rFonts w:hint="eastAsia" w:ascii="仿宋" w:hAnsi="仿宋" w:eastAsia="仿宋" w:cs="仿宋"/>
          <w:sz w:val="28"/>
          <w:szCs w:val="28"/>
          <w:lang w:val="en-US" w:eastAsia="zh-CN"/>
        </w:rPr>
        <w:t>位工作的，提交个人基本情况材料和档案中参加工作情况材料（见下页）即可</w:t>
      </w:r>
    </w:p>
    <w:p>
      <w:pPr>
        <w:keepNext w:val="0"/>
        <w:keepLines w:val="0"/>
        <w:pageBreakBefore w:val="0"/>
        <w:widowControl w:val="0"/>
        <w:numPr>
          <w:ilvl w:val="0"/>
          <w:numId w:val="1"/>
        </w:numPr>
        <w:kinsoku/>
        <w:wordWrap/>
        <w:overflowPunct/>
        <w:topLinePunct w:val="0"/>
        <w:autoSpaceDE/>
        <w:autoSpaceDN/>
        <w:bidi w:val="0"/>
        <w:adjustRightInd/>
        <w:snapToGrid/>
        <w:ind w:left="280" w:hanging="280" w:hangingChars="1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建立职工养老保险之前在同一单位的，如在北京市92年10月参加统筹的企业上班的职工，其在该单位给其实际缴费前一直在该单位工作，提交材料同第一类型</w:t>
      </w:r>
    </w:p>
    <w:p>
      <w:pPr>
        <w:keepNext w:val="0"/>
        <w:keepLines w:val="0"/>
        <w:pageBreakBefore w:val="0"/>
        <w:widowControl w:val="0"/>
        <w:numPr>
          <w:ilvl w:val="0"/>
          <w:numId w:val="1"/>
        </w:numPr>
        <w:kinsoku/>
        <w:wordWrap/>
        <w:overflowPunct/>
        <w:topLinePunct w:val="0"/>
        <w:autoSpaceDE/>
        <w:autoSpaceDN/>
        <w:bidi w:val="0"/>
        <w:adjustRightInd/>
        <w:snapToGrid/>
        <w:ind w:left="280" w:hanging="280" w:hangingChars="1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国有企业经组织部门审定的“三龄两历”人员，其出生日期以“三龄两历”为准，档案中不再提交材料</w:t>
      </w:r>
    </w:p>
    <w:p>
      <w:pPr>
        <w:keepNext w:val="0"/>
        <w:keepLines w:val="0"/>
        <w:pageBreakBefore w:val="0"/>
        <w:widowControl w:val="0"/>
        <w:numPr>
          <w:ilvl w:val="0"/>
          <w:numId w:val="1"/>
        </w:numPr>
        <w:kinsoku/>
        <w:wordWrap/>
        <w:overflowPunct/>
        <w:topLinePunct w:val="0"/>
        <w:autoSpaceDE/>
        <w:autoSpaceDN/>
        <w:bidi w:val="0"/>
        <w:adjustRightInd/>
        <w:snapToGrid/>
        <w:ind w:left="280" w:hanging="280" w:hangingChars="1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只有军龄和实际缴费的人员，预审时仅上传其军龄类材料，如入伍、退伍材料，军官类人员参照模板二第3类情况办理</w:t>
      </w:r>
    </w:p>
    <w:p>
      <w:pPr>
        <w:keepNext w:val="0"/>
        <w:keepLines w:val="0"/>
        <w:pageBreakBefore w:val="0"/>
        <w:widowControl w:val="0"/>
        <w:numPr>
          <w:ilvl w:val="0"/>
          <w:numId w:val="1"/>
        </w:numPr>
        <w:kinsoku/>
        <w:wordWrap/>
        <w:overflowPunct/>
        <w:topLinePunct w:val="0"/>
        <w:autoSpaceDE/>
        <w:autoSpaceDN/>
        <w:bidi w:val="0"/>
        <w:adjustRightInd/>
        <w:snapToGrid/>
        <w:ind w:left="280" w:hanging="280" w:hangingChars="1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以实际缴费办理的无档人员，无需进行档案预审</w:t>
      </w:r>
    </w:p>
    <w:p>
      <w:pPr>
        <w:keepNext w:val="0"/>
        <w:keepLines w:val="0"/>
        <w:pageBreakBefore w:val="0"/>
        <w:widowControl w:val="0"/>
        <w:numPr>
          <w:numId w:val="0"/>
        </w:numPr>
        <w:kinsoku/>
        <w:wordWrap/>
        <w:overflowPunct/>
        <w:topLinePunct w:val="0"/>
        <w:autoSpaceDE/>
        <w:autoSpaceDN/>
        <w:bidi w:val="0"/>
        <w:adjustRightInd/>
        <w:snapToGrid/>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以上情况的职工为从参加工作到开始实际缴费期间一直在同一单位工作。</w:t>
      </w: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模板二：</w:t>
      </w:r>
    </w:p>
    <w:p>
      <w:pPr>
        <w:keepNext w:val="0"/>
        <w:keepLines w:val="0"/>
        <w:pageBreakBefore w:val="0"/>
        <w:widowControl w:val="0"/>
        <w:numPr>
          <w:ilvl w:val="0"/>
          <w:numId w:val="2"/>
        </w:numPr>
        <w:kinsoku/>
        <w:wordWrap/>
        <w:overflowPunct/>
        <w:topLinePunct w:val="0"/>
        <w:autoSpaceDE/>
        <w:autoSpaceDN/>
        <w:bidi w:val="0"/>
        <w:adjustRightInd w:val="0"/>
        <w:snapToGrid/>
        <w:ind w:left="280" w:hanging="280" w:hangingChars="1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在同一系统，如公交集团、二商集团、一轻二轻集团总公司内调动的，参照第一类，但需补充统筹前的单位之间衔接材料，如调动、任免、新进单位工资定级的材料</w:t>
      </w:r>
    </w:p>
    <w:p>
      <w:pPr>
        <w:keepNext w:val="0"/>
        <w:keepLines w:val="0"/>
        <w:pageBreakBefore w:val="0"/>
        <w:widowControl w:val="0"/>
        <w:numPr>
          <w:ilvl w:val="0"/>
          <w:numId w:val="2"/>
        </w:numPr>
        <w:kinsoku/>
        <w:wordWrap/>
        <w:overflowPunct/>
        <w:topLinePunct w:val="0"/>
        <w:autoSpaceDE/>
        <w:autoSpaceDN/>
        <w:bidi w:val="0"/>
        <w:adjustRightInd w:val="0"/>
        <w:snapToGrid/>
        <w:ind w:left="280" w:hanging="280" w:hangingChars="1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部队士兵退伍安置后到地方企业，一直在该企业工作至退休，提供入伍材料、退伍材料、退伍安置或接收类材料</w:t>
      </w:r>
    </w:p>
    <w:p>
      <w:pPr>
        <w:keepNext w:val="0"/>
        <w:keepLines w:val="0"/>
        <w:pageBreakBefore w:val="0"/>
        <w:widowControl w:val="0"/>
        <w:numPr>
          <w:ilvl w:val="0"/>
          <w:numId w:val="2"/>
        </w:numPr>
        <w:kinsoku/>
        <w:wordWrap/>
        <w:overflowPunct/>
        <w:topLinePunct w:val="0"/>
        <w:autoSpaceDE/>
        <w:autoSpaceDN/>
        <w:bidi w:val="0"/>
        <w:adjustRightInd w:val="0"/>
        <w:snapToGrid/>
        <w:ind w:left="280" w:hanging="280" w:hangingChars="1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军队干部转业安置后到地方企业，一直在该企业工作至退休，提供入伍或上军校材料、军官定级定衔类材料、转业干部审批表、地方单位安置类材料（包括工资定级等）</w:t>
      </w:r>
    </w:p>
    <w:p>
      <w:pP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二、常规情况需提交的材料</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（一）职工户籍类材料：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本人户口本首页、本人页、变更页，本人身份证正反面（待信息共享后可取消提交）</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（二）职工档案类材料：</w:t>
      </w:r>
    </w:p>
    <w:p>
      <w:pPr>
        <w:numPr>
          <w:ilvl w:val="0"/>
          <w:numId w:val="3"/>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档案目录（全部扫描上传）</w:t>
      </w:r>
    </w:p>
    <w:p>
      <w:pPr>
        <w:numPr>
          <w:ilvl w:val="0"/>
          <w:numId w:val="3"/>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档案中最早记载出生日期的材料（通常为中学生登记表、入团类、入伍类）</w:t>
      </w:r>
    </w:p>
    <w:p>
      <w:pPr>
        <w:numPr>
          <w:ilvl w:val="0"/>
          <w:numId w:val="3"/>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参加工作时间（招工类、大学生分配报到证，详见填表说明，1986年10月之后招用的合同制工人需提供相关证明缴费材料）</w:t>
      </w:r>
    </w:p>
    <w:p>
      <w:pPr>
        <w:numPr>
          <w:ilvl w:val="0"/>
          <w:numId w:val="3"/>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体现工作连续性完整性的材料（档案的工资类、考核类，应缴费起始年月前的均需上传；调入调出材料，辞职类材料）</w:t>
      </w:r>
    </w:p>
    <w:p>
      <w:pPr>
        <w:numPr>
          <w:ilvl w:val="0"/>
          <w:numId w:val="3"/>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扣减工龄类材料（常见的有奖惩类和其他类，如开除、除名、自动离职、判刑、劳动教养、吃劳保、停薪留职等）</w:t>
      </w:r>
    </w:p>
    <w:p>
      <w:pPr>
        <w:numPr>
          <w:ilvl w:val="0"/>
          <w:numId w:val="3"/>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按月领取失业金情况（包括起始时间、终止时间）</w:t>
      </w:r>
    </w:p>
    <w:p>
      <w:pPr>
        <w:rPr>
          <w:rFonts w:hint="eastAsia" w:ascii="仿宋" w:hAnsi="仿宋" w:eastAsia="仿宋" w:cs="仿宋"/>
          <w:sz w:val="28"/>
          <w:szCs w:val="28"/>
          <w:lang w:val="en-US" w:eastAsia="zh-CN"/>
        </w:rPr>
      </w:pPr>
      <w:r>
        <w:rPr>
          <w:rFonts w:hint="eastAsia" w:ascii="仿宋" w:hAnsi="仿宋" w:eastAsia="仿宋"/>
          <w:sz w:val="28"/>
          <w:szCs w:val="28"/>
          <w:lang w:val="en-US" w:eastAsia="zh-CN"/>
        </w:rPr>
        <w:t>（三）</w:t>
      </w:r>
      <w:r>
        <w:rPr>
          <w:rFonts w:hint="eastAsia" w:ascii="仿宋" w:hAnsi="仿宋" w:eastAsia="仿宋" w:cs="仿宋"/>
          <w:sz w:val="28"/>
          <w:szCs w:val="28"/>
          <w:lang w:val="en-US" w:eastAsia="zh-CN"/>
        </w:rPr>
        <w:t>其他类材料：</w:t>
      </w:r>
    </w:p>
    <w:p>
      <w:pPr>
        <w:keepNext w:val="0"/>
        <w:keepLines w:val="0"/>
        <w:pageBreakBefore w:val="0"/>
        <w:widowControl w:val="0"/>
        <w:kinsoku/>
        <w:wordWrap/>
        <w:overflowPunct/>
        <w:topLinePunct w:val="0"/>
        <w:autoSpaceDE/>
        <w:autoSpaceDN/>
        <w:bidi w:val="0"/>
        <w:adjustRightInd/>
        <w:snapToGrid/>
        <w:ind w:left="420" w:hanging="420" w:hangingChars="150"/>
        <w:textAlignment w:val="auto"/>
        <w:rPr>
          <w:rFonts w:hint="eastAsia" w:ascii="仿宋" w:hAnsi="仿宋" w:eastAsia="仿宋" w:cs="仿宋"/>
          <w:sz w:val="28"/>
          <w:szCs w:val="28"/>
          <w:lang w:val="en-US" w:eastAsia="zh-CN"/>
        </w:rPr>
      </w:pPr>
      <w:r>
        <w:rPr>
          <w:rFonts w:hint="eastAsia" w:ascii="仿宋" w:hAnsi="仿宋" w:eastAsia="仿宋"/>
          <w:sz w:val="28"/>
          <w:szCs w:val="28"/>
          <w:lang w:val="en-US" w:eastAsia="zh-CN"/>
        </w:rPr>
        <w:t>1. 缴费材料（</w:t>
      </w:r>
      <w:r>
        <w:rPr>
          <w:rFonts w:hint="eastAsia" w:ascii="仿宋" w:hAnsi="仿宋" w:eastAsia="仿宋"/>
          <w:sz w:val="28"/>
          <w:szCs w:val="28"/>
        </w:rPr>
        <w:t>《职工养老保险手册》</w:t>
      </w:r>
      <w:r>
        <w:rPr>
          <w:rFonts w:hint="eastAsia" w:ascii="仿宋" w:hAnsi="仿宋" w:eastAsia="仿宋"/>
          <w:sz w:val="28"/>
          <w:szCs w:val="28"/>
          <w:lang w:eastAsia="zh-CN"/>
        </w:rPr>
        <w:t>，劳动手册，缴费台账</w:t>
      </w:r>
      <w:r>
        <w:rPr>
          <w:rFonts w:hint="eastAsia" w:ascii="仿宋" w:hAnsi="仿宋" w:eastAsia="仿宋"/>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left="420" w:leftChars="0" w:hanging="420" w:hangingChars="15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女职工按工人身份退休的，提供个人申请、载明工人岗位性质的劳动合同或岗位协议</w:t>
      </w:r>
    </w:p>
    <w:p>
      <w:pPr>
        <w:keepNext w:val="0"/>
        <w:keepLines w:val="0"/>
        <w:pageBreakBefore w:val="0"/>
        <w:widowControl w:val="0"/>
        <w:numPr>
          <w:ilvl w:val="0"/>
          <w:numId w:val="0"/>
        </w:numPr>
        <w:kinsoku/>
        <w:wordWrap/>
        <w:overflowPunct/>
        <w:topLinePunct w:val="0"/>
        <w:autoSpaceDE/>
        <w:autoSpaceDN/>
        <w:bidi w:val="0"/>
        <w:adjustRightInd/>
        <w:snapToGrid/>
        <w:ind w:left="420" w:leftChars="0" w:hanging="420" w:hangingChars="150"/>
        <w:textAlignment w:val="auto"/>
        <w:rPr>
          <w:rFonts w:hint="eastAsia" w:ascii="仿宋" w:hAnsi="仿宋" w:eastAsia="仿宋"/>
          <w:sz w:val="28"/>
          <w:szCs w:val="28"/>
          <w:lang w:val="en-US" w:eastAsia="zh-CN"/>
        </w:rPr>
      </w:pPr>
      <w:r>
        <w:rPr>
          <w:rFonts w:hint="eastAsia" w:ascii="仿宋" w:hAnsi="仿宋" w:eastAsia="仿宋" w:cs="仿宋"/>
          <w:sz w:val="28"/>
          <w:szCs w:val="28"/>
          <w:lang w:val="en-US" w:eastAsia="zh-CN"/>
        </w:rPr>
        <w:t xml:space="preserve">3. </w:t>
      </w:r>
      <w:r>
        <w:rPr>
          <w:rFonts w:hint="eastAsia" w:ascii="仿宋" w:hAnsi="仿宋" w:eastAsia="仿宋"/>
          <w:sz w:val="28"/>
          <w:szCs w:val="28"/>
          <w:lang w:val="en-US" w:eastAsia="zh-CN"/>
        </w:rPr>
        <w:t>职称类材料，档案中如有高级职称、高级技师、军转干部的需提供退休前评聘材料和军转干部审批表，此类材料归入职工档案，可从职工档案中扫描复印</w:t>
      </w:r>
    </w:p>
    <w:p>
      <w:pPr>
        <w:keepNext w:val="0"/>
        <w:keepLines w:val="0"/>
        <w:pageBreakBefore w:val="0"/>
        <w:widowControl w:val="0"/>
        <w:numPr>
          <w:ilvl w:val="0"/>
          <w:numId w:val="0"/>
        </w:numPr>
        <w:kinsoku/>
        <w:wordWrap/>
        <w:overflowPunct/>
        <w:topLinePunct w:val="0"/>
        <w:autoSpaceDE/>
        <w:autoSpaceDN/>
        <w:bidi w:val="0"/>
        <w:adjustRightInd/>
        <w:snapToGrid/>
        <w:ind w:left="420" w:leftChars="0" w:hanging="420" w:hangingChars="15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4. 留学归国服务的，提供档案中留学获取学历及体现归国工作等材料</w:t>
      </w:r>
    </w:p>
    <w:p>
      <w:pPr>
        <w:keepNext w:val="0"/>
        <w:keepLines w:val="0"/>
        <w:pageBreakBefore w:val="0"/>
        <w:widowControl w:val="0"/>
        <w:numPr>
          <w:ilvl w:val="0"/>
          <w:numId w:val="0"/>
        </w:numPr>
        <w:kinsoku/>
        <w:wordWrap/>
        <w:overflowPunct/>
        <w:topLinePunct w:val="0"/>
        <w:autoSpaceDE/>
        <w:autoSpaceDN/>
        <w:bidi w:val="0"/>
        <w:adjustRightInd/>
        <w:snapToGrid/>
        <w:ind w:left="420" w:leftChars="0" w:hanging="420" w:hangingChars="15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5. 领取失业金的，提供档案中领取失业金的起始和结束材料，待社保信息共享后可取消，目前仍需提交</w:t>
      </w:r>
    </w:p>
    <w:p>
      <w:pPr>
        <w:keepNext w:val="0"/>
        <w:keepLines w:val="0"/>
        <w:pageBreakBefore w:val="0"/>
        <w:widowControl w:val="0"/>
        <w:numPr>
          <w:ilvl w:val="0"/>
          <w:numId w:val="0"/>
        </w:numPr>
        <w:kinsoku/>
        <w:wordWrap/>
        <w:overflowPunct/>
        <w:topLinePunct w:val="0"/>
        <w:autoSpaceDE/>
        <w:autoSpaceDN/>
        <w:bidi w:val="0"/>
        <w:adjustRightInd/>
        <w:snapToGrid/>
        <w:ind w:left="420" w:hanging="420" w:hangingChars="15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 个别单位独有的应缴费起始时间材料（指不是按照本市企业1992年10月统筹参保的，且不是国家及本市改制类事业单位进入统筹的统一时间的）</w:t>
      </w:r>
    </w:p>
    <w:p>
      <w:pPr>
        <w:numPr>
          <w:ilvl w:val="0"/>
          <w:numId w:val="0"/>
        </w:numPr>
        <w:ind w:leftChars="0"/>
        <w:rPr>
          <w:rFonts w:hint="default" w:ascii="仿宋" w:hAnsi="仿宋" w:eastAsia="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DA314"/>
    <w:multiLevelType w:val="singleLevel"/>
    <w:tmpl w:val="340DA314"/>
    <w:lvl w:ilvl="0" w:tentative="0">
      <w:start w:val="1"/>
      <w:numFmt w:val="decimal"/>
      <w:lvlText w:val="%1."/>
      <w:lvlJc w:val="left"/>
      <w:pPr>
        <w:tabs>
          <w:tab w:val="left" w:pos="312"/>
        </w:tabs>
      </w:pPr>
    </w:lvl>
  </w:abstractNum>
  <w:abstractNum w:abstractNumId="1">
    <w:nsid w:val="5DECECFA"/>
    <w:multiLevelType w:val="singleLevel"/>
    <w:tmpl w:val="5DECECFA"/>
    <w:lvl w:ilvl="0" w:tentative="0">
      <w:start w:val="1"/>
      <w:numFmt w:val="decimal"/>
      <w:lvlText w:val="%1."/>
      <w:lvlJc w:val="left"/>
      <w:pPr>
        <w:ind w:left="425" w:hanging="425"/>
      </w:pPr>
      <w:rPr>
        <w:rFonts w:hint="default"/>
      </w:rPr>
    </w:lvl>
  </w:abstractNum>
  <w:abstractNum w:abstractNumId="2">
    <w:nsid w:val="6E442919"/>
    <w:multiLevelType w:val="singleLevel"/>
    <w:tmpl w:val="6E442919"/>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FB2675"/>
    <w:rsid w:val="18FB2675"/>
    <w:rsid w:val="21FC0470"/>
    <w:rsid w:val="29127718"/>
    <w:rsid w:val="29A038E4"/>
    <w:rsid w:val="347F2643"/>
    <w:rsid w:val="489278D5"/>
    <w:rsid w:val="58C86B91"/>
    <w:rsid w:val="66A56A91"/>
    <w:rsid w:val="76BD3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2020-02-04T01:45:00Z</dcterms:created>
  <dc:creator>lenovo</dc:creator>
  <cp:lastModifiedBy>lenovo</cp:lastModifiedBy>
  <dcterms:modified xsi:type="dcterms:W3CDTF">2020-02-04T06:23:51Z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