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883" w:firstLineChars="200"/>
        <w:jc w:val="center"/>
        <w:textAlignment w:val="auto"/>
        <w:rPr>
          <w:rFonts w:hint="eastAsia" w:ascii="宋体" w:hAnsi="宋体" w:eastAsia="宋体" w:cs="宋体"/>
          <w:b/>
          <w:i w:val="0"/>
          <w:caps w:val="0"/>
          <w:color w:val="000000"/>
          <w:spacing w:val="0"/>
          <w:sz w:val="44"/>
          <w:szCs w:val="44"/>
        </w:rPr>
      </w:pPr>
      <w:r>
        <w:rPr>
          <w:rFonts w:hint="eastAsia" w:ascii="宋体" w:hAnsi="宋体" w:eastAsia="宋体" w:cs="宋体"/>
          <w:b/>
          <w:i w:val="0"/>
          <w:caps w:val="0"/>
          <w:color w:val="000000"/>
          <w:spacing w:val="0"/>
          <w:sz w:val="44"/>
          <w:szCs w:val="44"/>
        </w:rPr>
        <w:t>北京市工商行政管理局西城分局</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883" w:firstLineChars="20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bookmarkStart w:id="0" w:name="_GoBack"/>
      <w:bookmarkEnd w:id="0"/>
      <w:r>
        <w:rPr>
          <w:rFonts w:hint="eastAsia" w:ascii="宋体" w:hAnsi="宋体" w:eastAsia="宋体" w:cs="宋体"/>
          <w:b/>
          <w:i w:val="0"/>
          <w:caps w:val="0"/>
          <w:color w:val="000000"/>
          <w:spacing w:val="0"/>
          <w:sz w:val="44"/>
          <w:szCs w:val="44"/>
        </w:rPr>
        <w:t>201</w:t>
      </w:r>
      <w:r>
        <w:rPr>
          <w:rFonts w:hint="eastAsia" w:ascii="宋体" w:hAnsi="宋体" w:eastAsia="宋体" w:cs="宋体"/>
          <w:b/>
          <w:i w:val="0"/>
          <w:caps w:val="0"/>
          <w:color w:val="000000"/>
          <w:spacing w:val="0"/>
          <w:sz w:val="44"/>
          <w:szCs w:val="44"/>
          <w:lang w:val="en-US" w:eastAsia="zh-CN"/>
        </w:rPr>
        <w:t>4</w:t>
      </w:r>
      <w:r>
        <w:rPr>
          <w:rFonts w:hint="eastAsia" w:ascii="宋体" w:hAnsi="宋体" w:eastAsia="宋体" w:cs="宋体"/>
          <w:b/>
          <w:i w:val="0"/>
          <w:caps w:val="0"/>
          <w:color w:val="000000"/>
          <w:spacing w:val="0"/>
          <w:sz w:val="44"/>
          <w:szCs w:val="44"/>
        </w:rPr>
        <w:t>年政府信息公开工作年度报告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本报告是根据《中华人民共和国政府信息公开条例》（以下简称《条例》）要求，由北京市工商行政管理西城分局编制的2014年度政府信息公开年度报告。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一、概述</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根据《条例》要求，2014年我局政府信息公开工作开展如下：配备了1名全职工作人员，设立了1个专门的信息申请受理点，提供依申请公开的受理服务；完善并有效落实了各类有关政府信息公开的工作机制。2014年，我局政府信息公开工作运行正常，政府信息公开咨询、申请以及答复工作开展顺利。</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二、政府信息主动公开情况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（一）公开情况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坚持“公开为原则、不公开为例外”的原则，以“主管部门统筹协调、业务部门主责办理、保密部门协助审查、法制部门审核把关”为主要内容的办理工作机制，建立健全了分局各科室的协调机制和会商制度，加强对重点信息发布前的审查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 西城分局2014年度主动公开信息214条，比上一年度增加33条。全文电子化信息241条，新增行政规范性文件3条，主动公开机构职能类信息数6条，主动公开法规文件类信息数3   条，主动公开规划计划类信息数2条，主动公开行政职责类信息数13条，主动公开业务动态类信息数201条</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（二）主动公开范围</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随着政府信息公开工作的不断深入，公众对政府信息公开内容的要求也不断增加。在这种情况下，我局始终把握“及时、便民”的工作宗旨，通过不断扩大主动公开范围的方式，满足社会公众对工商信息公开的需求。</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一是切实做好政策规章、规范性文件的公开工作。今年我局为贯彻落实区委区政府有关会议精神，充分发挥工商部门登记职能作用，及时宣传工商法规，解读工商政策，便于市民了解工商职能，有效保障自身权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二是继续推进工商职权公开，加强各类公共服务、便民服务类信息公开力度。我局在做好公文类政府信息主动公开工作的基础上，依托“北京工商”和西城工商门户网站及西城工商官方微博及微信公众服务号着重加强了便民服务类信息的主动公开，陆续增加了企业注册登记基本信息查询、商品质量监测、数据发布、广告监管提示等公众关注度高、与百姓生活联系密切的业务类信息、服务类信息的主动公开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（三）主动公开途径</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一是网上信息公开平台。充分依托“西城分局”门户网站（链接至市局e网通信息公开专栏），设立了政务公开、分局简介、新闻动态、注册指南等专栏，及时发布各类工商信息，宣传工商法规，解读工商政策。</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二是设置政务微博，政务微信公众号，将组织机构、规章制度和工作动态、热点新闻、政策解读信息等向全社会公开。</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三是依托各类新闻媒体公开。加强宣传报道工商工作，在各级报纸、杂志、电视台、网站等媒体上广泛宣传工商部门的工作成果、法律法规、消费维权知识。四是利用办公场所进行信息公开。在分局办公室及工商所设置可以查询主动公开信息的电脑设备，在分局一楼设置了LED显示屏及自助查询机，在分局大厅设置电子触摸屏，公开工商行政管理部门涉及行政许可、行政检查、行政强制、行政处罚、行政收费、行政救济等信息。并在办事大厅放置了目录、指南和便民手册等。同时利用社区和企业资源，不定期组织宣传会、座谈会、答疑会、培训会等，为市民提供优质高效的信息查询服务，取得了良好的社会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（四）教育培训</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分局积极参加市局、区政府信息公开培训活动，并在分局内部组织政府信息公开培训会、不定期召开信息公开工作协调会，强化思想，提高认识，加强交流，取得了良好的效果。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三、政府信息依申请公开情况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（一）申请情况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2014年，西城分局共受理依申请政府信息公开11件，其中4件为申请公开处罚决定书，3件为申请了解案件动态，2件为申请了解企业主体信息变更情况，1件为申请处罚决定书所附检测报告。</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（二）答复情况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答复11件，其中告知书4件，答复书4件，部分告知书3件。答复率100%。</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（三）其他需要说明的问题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通过依申请公开工作情况来看有以下特点：一是以职业打假人为主要申请人。本年度分局受理的信息公开申请中，2件为公司或公司代理律师申请，9件为个人申请，其中职业打假人7人，占总数的63.6%。二是申请内容多与案件办理情况以及相关文书相关，占全部申请的72.7%。</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四、人员和收支情况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（一）工作人员情况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本机关从事政府信息公开工作的全职人员共1人，兼职人员共0人。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（二）依申请公开政府信息收费情况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2014年，本机关依申请提供政府信息共收取检索、复印、邮递等成本费用共计0元。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（三）依申请公开政府信息减免收费情况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2014年，本机关对政府信息公开申请人减免收取检索、复印、邮递等成本费用共计0元。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2"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color w:val="000000"/>
          <w:spacing w:val="0"/>
          <w:kern w:val="0"/>
          <w:sz w:val="24"/>
          <w:szCs w:val="24"/>
          <w:shd w:val="clear" w:fill="FFFFFF"/>
          <w:lang w:val="en-US" w:eastAsia="zh-CN" w:bidi="ar"/>
        </w:rPr>
        <w:t>（四）与诉讼有关的费用支出</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2014年，本机关与诉讼有关的费用支出共计0元。</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五、咨询情况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2014年，我局共接受公民、法人及其他组织政府信息公开方面的咨询17人次。其中，现场咨询2人次。</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六、行政复议和行政诉讼情况</w:t>
      </w:r>
    </w:p>
    <w:p>
      <w:pPr>
        <w:keepNext w:val="0"/>
        <w:keepLines w:val="0"/>
        <w:pageBreakBefore w:val="0"/>
        <w:widowControl/>
        <w:suppressLineNumbers w:val="0"/>
        <w:shd w:val="clear" w:fill="FFFFFF"/>
        <w:kinsoku/>
        <w:wordWrap/>
        <w:overflowPunct/>
        <w:topLinePunct w:val="0"/>
        <w:autoSpaceDE/>
        <w:autoSpaceDN/>
        <w:bidi w:val="0"/>
        <w:adjustRightInd/>
        <w:snapToGrid/>
        <w:spacing w:line="270" w:lineRule="atLeast"/>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 2014年，西城分局与信息公开相关的行政复议共两件，其中1件予以维持，1件撤销后重新答复。</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七、主要问题和工作计划</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回顾2014年政府信息公开工作，我局虽然取得了一定成绩，但工作中也存在一些不足，主要是合理界定涉及国家秘密、商业秘密、个人隐私的政府信息，有必要对工商系统政府信息进行进一步梳理。在下一步的工作中，我局将进一步加强对政府信息公开工作人员业务培训，推进依法行政及落实《北京市政府信息公开规定》，统一标准、统一规范、统一提高。推进我局政府信息公开工作再上一个新台阶。</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right"/>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北京市工商行政管理局西城分局</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480" w:firstLineChars="200"/>
        <w:jc w:val="center"/>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kern w:val="0"/>
          <w:sz w:val="24"/>
          <w:szCs w:val="24"/>
          <w:shd w:val="clear" w:fill="FFFFFF"/>
          <w:lang w:val="en-US" w:eastAsia="zh-CN" w:bidi="ar"/>
        </w:rPr>
        <w:t xml:space="preserve">                                         二〇一五年三月</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92CAA"/>
    <w:rsid w:val="2A99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2020-04-22T03:02:00Z</dcterms:created>
  <dc:creator>じ頖縌dē★℡々</dc:creator>
  <cp:lastModifiedBy>じ頖縌dē★℡々</cp:lastModifiedBy>
  <dcterms:modified xsi:type="dcterms:W3CDTF">2020-04-22T03:06:23Z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