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3150"/>
          <w:tab w:val="left" w:pos="7875"/>
          <w:tab w:val="left" w:pos="8505"/>
        </w:tabs>
        <w:autoSpaceDE w:val="0"/>
        <w:autoSpaceDN w:val="0"/>
        <w:adjustRightInd w:val="0"/>
        <w:spacing w:line="560" w:lineRule="exact"/>
        <w:ind w:left="2847" w:leftChars="449" w:hanging="1904" w:hangingChars="595"/>
        <w:jc w:val="center"/>
        <w:rPr>
          <w:rFonts w:ascii="黑体" w:hAnsi="黑体" w:eastAsia="黑体" w:cs="仿宋_GB2312"/>
          <w:bCs/>
          <w:spacing w:val="-20"/>
          <w:sz w:val="36"/>
          <w:szCs w:val="36"/>
          <w:lang w:val="zh-CN"/>
        </w:rPr>
      </w:pPr>
      <w:r>
        <w:rPr>
          <w:rFonts w:hint="eastAsia" w:ascii="黑体" w:hAnsi="黑体" w:eastAsia="黑体" w:cs="仿宋_GB2312"/>
          <w:bCs/>
          <w:spacing w:val="-20"/>
          <w:sz w:val="36"/>
          <w:szCs w:val="36"/>
          <w:lang w:val="zh-CN"/>
        </w:rPr>
        <w:t>西城区发展和改革委员会等45个区属一级预算单位</w:t>
      </w:r>
    </w:p>
    <w:p>
      <w:pPr>
        <w:tabs>
          <w:tab w:val="left" w:pos="0"/>
          <w:tab w:val="left" w:pos="3150"/>
          <w:tab w:val="left" w:pos="7875"/>
          <w:tab w:val="left" w:pos="8505"/>
        </w:tabs>
        <w:autoSpaceDE w:val="0"/>
        <w:autoSpaceDN w:val="0"/>
        <w:adjustRightInd w:val="0"/>
        <w:spacing w:before="156" w:beforeLines="50" w:after="156" w:afterLines="50" w:line="560" w:lineRule="exact"/>
        <w:ind w:firstLine="960" w:firstLineChars="30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仿宋_GB2312"/>
          <w:bCs/>
          <w:spacing w:val="-20"/>
          <w:sz w:val="36"/>
          <w:szCs w:val="36"/>
          <w:lang w:val="zh-CN"/>
        </w:rPr>
        <w:t>2018年度预算执行数据分析情况的审计</w:t>
      </w:r>
      <w:r>
        <w:rPr>
          <w:rFonts w:hint="eastAsia" w:ascii="黑体" w:hAnsi="黑体" w:eastAsia="黑体"/>
          <w:sz w:val="36"/>
          <w:szCs w:val="36"/>
        </w:rPr>
        <w:t>结果</w:t>
      </w:r>
    </w:p>
    <w:p>
      <w:pPr>
        <w:spacing w:line="560" w:lineRule="exact"/>
        <w:jc w:val="center"/>
        <w:rPr>
          <w:rFonts w:hint="eastAsia" w:ascii="宋体" w:cs="宋体"/>
          <w:b/>
          <w:bCs/>
          <w:sz w:val="52"/>
          <w:szCs w:val="5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根据《中华人民共和国审计法》</w:t>
      </w:r>
      <w:r>
        <w:rPr>
          <w:rFonts w:hint="eastAsia" w:ascii="仿宋_GB2312" w:eastAsia="仿宋_GB2312"/>
          <w:sz w:val="32"/>
          <w:szCs w:val="32"/>
        </w:rPr>
        <w:t>和《北京市审计条例》</w:t>
      </w:r>
      <w:r>
        <w:rPr>
          <w:rFonts w:hint="eastAsia" w:ascii="仿宋_GB2312" w:hAnsi="仿宋" w:eastAsia="仿宋_GB2312" w:cs="仿宋_GB2312"/>
          <w:sz w:val="32"/>
          <w:szCs w:val="32"/>
        </w:rPr>
        <w:t>的规定，</w:t>
      </w:r>
      <w:r>
        <w:rPr>
          <w:rFonts w:hint="eastAsia" w:ascii="仿宋_GB2312" w:eastAsia="仿宋_GB2312"/>
          <w:sz w:val="32"/>
          <w:szCs w:val="32"/>
        </w:rPr>
        <w:t>西城区审计局依据西城区财政总预算会计数据、指标数据、资产数据、国库集中支付数据和电子财务账套等，运用数据分析模型，对45个区属一级预算单位(以下简称区属单位)2018年度预算执行数据分析情况进行了审计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pStyle w:val="7"/>
        <w:spacing w:line="560" w:lineRule="exact"/>
        <w:rPr>
          <w:rFonts w:hint="eastAsia" w:ascii="仿宋_GB2312" w:hAnsi="Times New Roman" w:eastAsia="仿宋_GB2312" w:cs="Times New Roman"/>
          <w:bCs w:val="0"/>
          <w:color w:val="000000"/>
        </w:rPr>
      </w:pPr>
      <w:bookmarkStart w:id="0" w:name="jbqkbt"/>
      <w:r>
        <w:rPr>
          <w:rFonts w:hint="eastAsia" w:ascii="仿宋_GB2312" w:hAnsi="Times New Roman" w:eastAsia="仿宋_GB2312"/>
          <w:bCs w:val="0"/>
          <w:color w:val="000000"/>
        </w:rPr>
        <w:t>一、基本情况</w:t>
      </w:r>
      <w:bookmarkEnd w:id="0"/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2018年度，45个区属单位年初预算批复合计576772.72万元，其中：基本支出预算批复合计102199.55万元，项目支出预算批复合计474573.16万元； 2018年度预算支出完成1035581.96万元，其中：基本支出101853.4万元，项目支出933728.56万元；总预算执行率为88.38%，其中：基本支出预算执行率为95.97%，项目支出预算执行率为87.62%。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西城区发展和改革委员会等43个单位执行《行政单位会计制度》，西城经济科学大学和西城区高级经营管理人才评价推荐中心执行《事业单位会计制度》，财务核算均使用新中大财务软件。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审计结果表明，45个区属单位2018年度预算执行基本遵守了《</w:t>
      </w:r>
      <w:r>
        <w:rPr>
          <w:rFonts w:hint="eastAsia" w:ascii="仿宋_GB2312" w:hAnsi="仿宋" w:eastAsia="仿宋_GB2312" w:cs="仿宋_GB2312"/>
          <w:sz w:val="32"/>
          <w:szCs w:val="32"/>
        </w:rPr>
        <w:t>中华人民共和国</w:t>
      </w:r>
      <w:r>
        <w:rPr>
          <w:rFonts w:hint="eastAsia" w:ascii="仿宋_GB2312" w:eastAsia="仿宋_GB2312"/>
          <w:sz w:val="32"/>
          <w:szCs w:val="32"/>
        </w:rPr>
        <w:t>预算法》及相关法律法规，预算执行情况较好。部门预算编制的总体质量进一步提高，全年预算执行率88.38%，较上一年度提高了10.87个百分点。资金使用更加规范，现金使用金额较上一年度降低73.45%，公务卡使用金额较上一年度上升3.11%，国库集中支付总额较上年增长39.36%。但在预算编制和执行、政府采购、国库和资产管理以及财务管理方面还存在一定的问题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二、审计发现的主要问题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部分项目全年预算执行率低。</w:t>
      </w:r>
    </w:p>
    <w:p>
      <w:pPr>
        <w:spacing w:line="560" w:lineRule="exact"/>
        <w:ind w:firstLine="736" w:firstLineChars="23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未按规定使用预留机动费。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</w:rPr>
        <w:t>超标准购置办公设备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</w:rPr>
        <w:t>固定资产分类、登记不符合规定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（五）未按规定及时办理公务卡。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（六）未按规定开设银行开户账户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三、审计处理情况及建议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Calibri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以上问题，区审计局已依法出具了审计报告，要求相关区属单位进一步加强预算管理，</w:t>
      </w:r>
      <w:r>
        <w:rPr>
          <w:rFonts w:hint="eastAsia" w:ascii="仿宋_GB2312" w:eastAsia="仿宋_GB2312"/>
          <w:sz w:val="32"/>
          <w:szCs w:val="32"/>
        </w:rPr>
        <w:t>进一步加强固定资产的管理，</w:t>
      </w:r>
      <w:r>
        <w:rPr>
          <w:rFonts w:hint="eastAsia" w:ascii="仿宋_GB2312" w:eastAsia="仿宋_GB2312"/>
          <w:kern w:val="144"/>
          <w:sz w:val="32"/>
          <w:szCs w:val="32"/>
          <w:lang w:val="en-GB"/>
        </w:rPr>
        <w:t>完善制度，加强内控管理，</w:t>
      </w:r>
      <w:r>
        <w:rPr>
          <w:rFonts w:hint="eastAsia" w:ascii="仿宋_GB2312" w:hAnsi="仿宋" w:eastAsia="仿宋_GB2312"/>
          <w:sz w:val="32"/>
          <w:szCs w:val="32"/>
        </w:rPr>
        <w:t>改进财务基础工作</w:t>
      </w:r>
      <w:r>
        <w:rPr>
          <w:rFonts w:hint="eastAsia" w:ascii="仿宋_GB2312" w:hAnsi="Calibri" w:eastAsia="仿宋_GB2312" w:cs="Calibri"/>
          <w:sz w:val="32"/>
          <w:szCs w:val="32"/>
        </w:rPr>
        <w:t xml:space="preserve">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四、审计发现问题的初步整改情况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各相关区属单位</w:t>
      </w:r>
      <w:r>
        <w:rPr>
          <w:rFonts w:hint="eastAsia" w:ascii="仿宋_GB2312" w:eastAsia="仿宋_GB2312"/>
          <w:color w:val="000000"/>
          <w:sz w:val="32"/>
          <w:szCs w:val="32"/>
        </w:rPr>
        <w:t>对审计发现的问题予以高度重视，审计反映问题正在整改中。</w:t>
      </w:r>
      <w:bookmarkStart w:id="1" w:name="_GoBack"/>
      <w:bookmarkEnd w:id="1"/>
    </w:p>
    <w:p>
      <w:pPr>
        <w:spacing w:line="560" w:lineRule="exact"/>
        <w:ind w:right="320" w:firstLine="420" w:firstLineChars="200"/>
        <w:jc w:val="right"/>
        <w:rPr>
          <w:rFonts w:hint="eastAsia" w:ascii="仿宋_GB2312" w:eastAsia="仿宋_GB2312"/>
        </w:rPr>
      </w:pPr>
      <w:r>
        <w:t xml:space="preserve">                             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62"/>
    <w:rsid w:val="003D70F8"/>
    <w:rsid w:val="00867662"/>
    <w:rsid w:val="00B35A97"/>
    <w:rsid w:val="00EF1A93"/>
    <w:rsid w:val="0D11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文章标题-黑体3号 Char Char"/>
    <w:link w:val="7"/>
    <w:qFormat/>
    <w:uiPriority w:val="0"/>
    <w:rPr>
      <w:rFonts w:ascii="黑体" w:hAnsi="黑体" w:eastAsia="黑体"/>
      <w:bCs/>
      <w:sz w:val="32"/>
      <w:szCs w:val="32"/>
    </w:rPr>
  </w:style>
  <w:style w:type="paragraph" w:customStyle="1" w:styleId="7">
    <w:name w:val="文章标题-黑体3号"/>
    <w:basedOn w:val="1"/>
    <w:link w:val="6"/>
    <w:qFormat/>
    <w:uiPriority w:val="0"/>
    <w:pPr>
      <w:autoSpaceDE w:val="0"/>
      <w:autoSpaceDN w:val="0"/>
      <w:adjustRightInd w:val="0"/>
      <w:spacing w:line="240" w:lineRule="atLeast"/>
      <w:ind w:firstLine="640" w:firstLineChars="200"/>
    </w:pPr>
    <w:rPr>
      <w:rFonts w:ascii="黑体" w:hAnsi="黑体" w:eastAsia="黑体" w:cstheme="minorBidi"/>
      <w:bCs/>
      <w:sz w:val="32"/>
      <w:szCs w:val="32"/>
    </w:rPr>
  </w:style>
  <w:style w:type="character" w:customStyle="1" w:styleId="8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824</Characters>
  <Lines>6</Lines>
  <Paragraphs>1</Paragraphs>
  <TotalTime>1</TotalTime>
  <ScaleCrop>false</ScaleCrop>
  <LinksUpToDate>false</LinksUpToDate>
  <CharactersWithSpaces>967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2019-08-27T10:04:00Z</dcterms:created>
  <dc:creator>李春红</dc:creator>
  <cp:lastModifiedBy>陈瑀</cp:lastModifiedBy>
  <dcterms:modified xsi:type="dcterms:W3CDTF">2019-08-28T01:18:25Z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