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区国资委完成201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仿宋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国有资本经营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决算</w:t>
      </w:r>
      <w:r>
        <w:rPr>
          <w:rFonts w:hint="eastAsia" w:ascii="方正小标宋简体" w:hAnsi="仿宋" w:eastAsia="方正小标宋简体"/>
          <w:sz w:val="44"/>
          <w:szCs w:val="44"/>
        </w:rPr>
        <w:t>工作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680"/>
        </w:tabs>
        <w:spacing w:line="580" w:lineRule="exact"/>
        <w:ind w:firstLine="63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2019年</w:t>
      </w:r>
      <w:r>
        <w:rPr>
          <w:rFonts w:hint="eastAsia" w:ascii="仿宋_GB2312" w:hAnsi="Times New Roman" w:eastAsia="仿宋_GB2312" w:cs="Times New Roman"/>
          <w:sz w:val="32"/>
          <w:szCs w:val="24"/>
        </w:rPr>
        <w:t>国有资本经营预算收入总计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26075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万元。其中：国有资本经营预算收入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25669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万元，动用上年结余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406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万元。国有资本经营预算支出总计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26075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万元。其中：国有资本经营预算支出安排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14525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万元，国有资本经营预算调出资金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5653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万元，本年结余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5897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680"/>
        </w:tabs>
        <w:spacing w:line="58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left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仿宋_GB2312" w:hAnsi="宋体" w:cs="宋体"/>
          <w:kern w:val="0"/>
          <w:sz w:val="24"/>
        </w:rPr>
      </w:pPr>
      <w:r>
        <w:rPr>
          <w:rFonts w:hint="eastAsia"/>
          <w:sz w:val="20"/>
          <w:szCs w:val="20"/>
        </w:rPr>
        <w:t xml:space="preserve">附表4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_GB2312" w:hAnsi="宋体" w:cs="宋体"/>
          <w:kern w:val="0"/>
          <w:sz w:val="24"/>
        </w:rPr>
        <w:t xml:space="preserve"> </w:t>
      </w:r>
    </w:p>
    <w:p>
      <w:pPr>
        <w:spacing w:line="600" w:lineRule="exact"/>
        <w:ind w:firstLine="600" w:firstLineChars="250"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24"/>
        </w:rPr>
        <w:t>西城区2019年国有资本经营预算收支决算明细表</w:t>
      </w:r>
    </w:p>
    <w:p>
      <w:pPr>
        <w:spacing w:line="600" w:lineRule="exact"/>
        <w:ind w:firstLine="500" w:firstLineChars="250"/>
        <w:jc w:val="right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kern w:val="0"/>
          <w:sz w:val="20"/>
          <w:szCs w:val="20"/>
        </w:rPr>
        <w:t>单位：万元</w:t>
      </w:r>
    </w:p>
    <w:tbl>
      <w:tblPr>
        <w:tblStyle w:val="8"/>
        <w:tblW w:w="1449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11"/>
        <w:gridCol w:w="836"/>
        <w:gridCol w:w="901"/>
        <w:gridCol w:w="933"/>
        <w:gridCol w:w="966"/>
        <w:gridCol w:w="2872"/>
        <w:gridCol w:w="895"/>
        <w:gridCol w:w="850"/>
        <w:gridCol w:w="851"/>
        <w:gridCol w:w="968"/>
        <w:gridCol w:w="933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          入</w:t>
            </w:r>
          </w:p>
        </w:tc>
        <w:tc>
          <w:tcPr>
            <w:tcW w:w="8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        目</w:t>
            </w:r>
          </w:p>
        </w:tc>
        <w:tc>
          <w:tcPr>
            <w:tcW w:w="9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2018年决算数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2019年年初预算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2019年决算数</w:t>
            </w:r>
          </w:p>
        </w:tc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决算数同比增幅</w:t>
            </w:r>
          </w:p>
        </w:tc>
        <w:tc>
          <w:tcPr>
            <w:tcW w:w="9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完成年初预算的%</w:t>
            </w:r>
          </w:p>
        </w:tc>
        <w:tc>
          <w:tcPr>
            <w:tcW w:w="28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        目</w:t>
            </w:r>
          </w:p>
        </w:tc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2018年决算数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2019年年初预算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2019年调整预算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2019年决算数</w:t>
            </w:r>
          </w:p>
        </w:tc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决算数同比增幅</w:t>
            </w:r>
          </w:p>
        </w:tc>
        <w:tc>
          <w:tcPr>
            <w:tcW w:w="9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完成调整预算的%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国有资本经营预算收入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35306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19784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25669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-27.30%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129.75%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13525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14525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14525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-53.39%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利润收入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35306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19784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25669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-27.30%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129.75%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解决历史遗留问题及改革成本支出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14.40%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　国有企业改革成本支出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14.40%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国有企业资本金注入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29373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11475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12475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12475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-57.53%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　国有经济结构调整支出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29373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11475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12475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12475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-57.53%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35306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19784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25669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-27.30%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129.75%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31165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13525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14525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14525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-53.39%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动用上年结余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6653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406 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406 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-93.90%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调出资金（调入一般公共预算）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10388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5654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5654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5653 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年终结余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1011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5896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5897 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        计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41959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20190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26075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-37.86%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129.15%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        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41959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26075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26075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-37.86%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100.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0%</w:t>
            </w:r>
          </w:p>
        </w:tc>
      </w:tr>
    </w:tbl>
    <w:p>
      <w:pPr>
        <w:spacing w:line="600" w:lineRule="exact"/>
        <w:ind w:firstLine="500" w:firstLineChars="250"/>
        <w:jc w:val="right"/>
        <w:rPr>
          <w:rFonts w:ascii="仿宋_GB2312" w:eastAsia="仿宋_GB2312"/>
          <w:sz w:val="20"/>
          <w:szCs w:val="2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841"/>
        <w:gridCol w:w="1134"/>
        <w:gridCol w:w="1780"/>
        <w:gridCol w:w="884"/>
        <w:gridCol w:w="1002"/>
        <w:gridCol w:w="454"/>
        <w:gridCol w:w="598"/>
        <w:gridCol w:w="233"/>
        <w:gridCol w:w="828"/>
        <w:gridCol w:w="756"/>
        <w:gridCol w:w="13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附表6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年度国有资本经营决算支出表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预算单位/企业名称</w:t>
            </w:r>
          </w:p>
        </w:tc>
        <w:tc>
          <w:tcPr>
            <w:tcW w:w="1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功能科目编码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政府经济分类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政府经济分类名称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2019年年初预算</w:t>
            </w:r>
          </w:p>
        </w:tc>
        <w:tc>
          <w:tcPr>
            <w:tcW w:w="3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2019年调整预算</w:t>
            </w:r>
          </w:p>
        </w:tc>
        <w:tc>
          <w:tcPr>
            <w:tcW w:w="3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2019年决算数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完成调整预算的%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北京市西城区人民政府国有资产监督管理委员会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13525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14525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14525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北京金融街投资(集团)有限公司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华融公司对物业公司增资项目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北京金融街投资(集团)有限公司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金融街教育公司投资项目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北京金融街投资(集团)有限公司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金融街文化生活空间项目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北京金融街资本运营中心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投资设立北京国际邮币交易中心项目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北京金融街资本运营中心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解决昊都公司历史遗留问题及宣兴公司电梯维修款项目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北京市华远集团有限公司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构建“高精尖”科技产业拓展项目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北京天恒置业集团有限公司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北京天恒新科技管理有限公司增资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北京宣房投资管理集团有限公司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解决退休职工历史遗留问题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北京华方投资有限公司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追加西单西南角拆迁人员安置资金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北京华方投资有限公司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构建立体停车设备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北京华方投资有限公司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非遗文化保护传承项目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北京华天饮食集团公司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西单菜市场历史遗留问题项目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北京市金工投资管理公司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解决所属企业管理费用资金缺口历史遗留问题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北京市金工投资管理公司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解决所属企业宿舍区锅炉油改电项目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2230107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国有企业改革成本支出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北京天桥盛世投资集团有限责任公司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首都电影院金融街店升级改造项目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北京天桥盛世投资集团有限责任公司</w:t>
            </w:r>
          </w:p>
        </w:tc>
        <w:tc>
          <w:tcPr>
            <w:tcW w:w="1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影视剧项目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2230201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国有经济结构调整支出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59999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p>
      <w:pPr>
        <w:rPr>
          <w:rFonts w:ascii="黑体" w:hAnsi="Times New Roman" w:eastAsia="黑体" w:cs="Times New Roman"/>
          <w:sz w:val="32"/>
          <w:szCs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4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17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5"/>
    <w:rsid w:val="00015A3A"/>
    <w:rsid w:val="000C7355"/>
    <w:rsid w:val="001237DA"/>
    <w:rsid w:val="001A7963"/>
    <w:rsid w:val="001D5516"/>
    <w:rsid w:val="0027219E"/>
    <w:rsid w:val="002A375A"/>
    <w:rsid w:val="00396700"/>
    <w:rsid w:val="003D4086"/>
    <w:rsid w:val="003D7FD6"/>
    <w:rsid w:val="003E44C3"/>
    <w:rsid w:val="004710CE"/>
    <w:rsid w:val="004A0C05"/>
    <w:rsid w:val="004F0BD5"/>
    <w:rsid w:val="00513A19"/>
    <w:rsid w:val="006C1DD6"/>
    <w:rsid w:val="006F54CA"/>
    <w:rsid w:val="00711B25"/>
    <w:rsid w:val="007B7907"/>
    <w:rsid w:val="008718A2"/>
    <w:rsid w:val="00971ED5"/>
    <w:rsid w:val="0098581F"/>
    <w:rsid w:val="00A12A42"/>
    <w:rsid w:val="00A35030"/>
    <w:rsid w:val="00B56171"/>
    <w:rsid w:val="00BD121A"/>
    <w:rsid w:val="00BD7787"/>
    <w:rsid w:val="00C2373B"/>
    <w:rsid w:val="00C27B2B"/>
    <w:rsid w:val="00C51236"/>
    <w:rsid w:val="00C751D5"/>
    <w:rsid w:val="00DE1BA0"/>
    <w:rsid w:val="00E34837"/>
    <w:rsid w:val="00EC2F6C"/>
    <w:rsid w:val="00F64106"/>
    <w:rsid w:val="00F647D6"/>
    <w:rsid w:val="00FA0790"/>
    <w:rsid w:val="00FA2092"/>
    <w:rsid w:val="08C17587"/>
    <w:rsid w:val="0A05150C"/>
    <w:rsid w:val="0F8B335E"/>
    <w:rsid w:val="14667053"/>
    <w:rsid w:val="14917A11"/>
    <w:rsid w:val="159233E8"/>
    <w:rsid w:val="19CA6290"/>
    <w:rsid w:val="1ECB4E37"/>
    <w:rsid w:val="1FD06223"/>
    <w:rsid w:val="2791467B"/>
    <w:rsid w:val="334535A3"/>
    <w:rsid w:val="37356444"/>
    <w:rsid w:val="49542863"/>
    <w:rsid w:val="4D6F3FA6"/>
    <w:rsid w:val="4F511E41"/>
    <w:rsid w:val="54E97181"/>
    <w:rsid w:val="579C2011"/>
    <w:rsid w:val="58B42961"/>
    <w:rsid w:val="59D61BA7"/>
    <w:rsid w:val="5AD94B67"/>
    <w:rsid w:val="5B644168"/>
    <w:rsid w:val="5B814D68"/>
    <w:rsid w:val="607E6E16"/>
    <w:rsid w:val="75805127"/>
    <w:rsid w:val="799E1C2B"/>
    <w:rsid w:val="7A0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FollowedHyperlink"/>
    <w:semiHidden/>
    <w:unhideWhenUsed/>
    <w:uiPriority w:val="99"/>
    <w:rPr>
      <w:color w:val="800080"/>
      <w:u w:val="single"/>
    </w:rPr>
  </w:style>
  <w:style w:type="character" w:styleId="13">
    <w:name w:val="Hyperlink"/>
    <w:semiHidden/>
    <w:unhideWhenUsed/>
    <w:uiPriority w:val="99"/>
    <w:rPr>
      <w:color w:val="0000FF"/>
      <w:u w:val="single"/>
    </w:rPr>
  </w:style>
  <w:style w:type="character" w:styleId="14">
    <w:name w:val="annotation reference"/>
    <w:semiHidden/>
    <w:unhideWhenUsed/>
    <w:uiPriority w:val="99"/>
    <w:rPr>
      <w:sz w:val="21"/>
      <w:szCs w:val="21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1">
    <w:name w:val="网格型1"/>
    <w:basedOn w:val="8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日期 Char"/>
    <w:basedOn w:val="10"/>
    <w:link w:val="3"/>
    <w:semiHidden/>
    <w:qFormat/>
    <w:uiPriority w:val="99"/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4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table" w:customStyle="1" w:styleId="27">
    <w:name w:val="网格型2"/>
    <w:basedOn w:val="8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11"/>
    <w:basedOn w:val="8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1483</Words>
  <Characters>8457</Characters>
  <Lines>70</Lines>
  <Paragraphs>19</Paragraphs>
  <TotalTime>1</TotalTime>
  <ScaleCrop>false</ScaleCrop>
  <LinksUpToDate>false</LinksUpToDate>
  <CharactersWithSpaces>9921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2019-01-30T09:24:00Z</dcterms:created>
  <dc:creator>唐亮</dc:creator>
  <cp:lastModifiedBy>猫</cp:lastModifiedBy>
  <cp:lastPrinted>2019-02-11T05:50:00Z</cp:lastPrinted>
  <dcterms:modified xsi:type="dcterms:W3CDTF">2020-08-27T09:08:57Z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