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201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年度部门决算及“三公”经费决算信息公开</w:t>
      </w: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部门决算公开目录</w:t>
      </w:r>
    </w:p>
    <w:p>
      <w:pPr>
        <w:spacing w:line="560" w:lineRule="exact"/>
        <w:ind w:firstLine="320" w:firstLineChars="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第一部分、201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年部门决算情况说明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一、部门情况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（一）部门职责、机构设置情况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人员情况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年收入及支出总体情况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（一）收入决算说明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（二）支出决算说明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三、主要支出情况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财政拨款“三公”经费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（一）“三公”经费的单位范围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（二）“三公”经费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决算信息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情况说明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五、其他情况说明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（一）机关运行经费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执行情况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（二）政府采购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执行情况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（三）政府购买服务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情况</w:t>
      </w:r>
    </w:p>
    <w:p>
      <w:pPr>
        <w:tabs>
          <w:tab w:val="left" w:pos="1680"/>
        </w:tabs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重点绩效评价结果等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预算绩效情况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（五）国有资产占用情况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（六）国有资本经营预算财政拨款情况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）各类民生支出情况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六、名称解释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第二部分、201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年度部门决算报表　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年部门收支总体情况表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年部门收入总体情况表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年部门支出总体情况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政府采购情况表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政府购买服务支出情况表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年财政拨款收支总体情况表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支出情况表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基本支出情况表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“三公”经费支出情况表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年政府性基金预算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收支决算表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年政府性基金预算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财政拨款基本支出情况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第一部分、201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年部门决算情况说明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一、部门情况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（一）部门职责、机构设置情况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1.主要职责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⑴贯彻执行法律、法规、规章和市、区政府的决策部署，依法管理基层公共事务。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⑵承担辖区市容环境卫生、绿化美化的管理工作，推进街巷长、河长制工作，组织、协调城市管理综合执法和环境秩序综合治理工作，推进城市精细化管理。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⑶协助依法履行安全生产、消防安全、食品安全、环境保护、劳动保障、流动人口及出租房屋监督管理工作，承担辖区应急、防汛和防灾减灾工作。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⑷参与制定并组织实施社区建设规划和公共服务设施规划，组织辖区单位、居民和志愿者队伍为社区发展服务。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⑸负责社区居民委员会建设，指导社区居民委员会工作，培育、发展社区社会组织，指导、监督社区业主委员会。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⑹推进居民自治，动员社会力量参与社区治理，推动形成社区共治合力。向上级政府反映社情民意。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⑺组织开展群众性文化、体育、科普活动，开展法治宣传和社会公德教育，推动社区公益事业发展。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⑻组织开展公共服务，落实人力社保、民政、卫生健康、教育、住房保障、便民服务等政策，维护老年人、妇女、未成年人、残疾人等合法权益。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⑼负责联系、服务辖区单位，营造良好的营商环境。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⑽承办区政府交办的其他事项。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2.机构设置情况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⑴纪律检查工作委员会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⑵综合办公室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⑶党群工作办公室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⑷平安建设办公室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⑸城市管理办公室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⑹社区建设办公室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⑺民生保障办公室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⑻地区协调服务办公室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⑼党群服务中心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⑽市民服务中心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⑾全响应街区治理中心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⑿西单商业区服务中心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我街道</w:t>
      </w:r>
      <w:r>
        <w:rPr>
          <w:rFonts w:hint="eastAsia" w:ascii="仿宋_GB2312" w:hAnsi="仿宋" w:eastAsia="仿宋_GB2312"/>
          <w:sz w:val="32"/>
          <w:szCs w:val="32"/>
        </w:rPr>
        <w:t>截止2019年12月31日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</w:t>
      </w:r>
      <w:r>
        <w:rPr>
          <w:rFonts w:hint="eastAsia" w:ascii="仿宋" w:hAnsi="仿宋" w:eastAsia="仿宋" w:cs="仿宋"/>
          <w:sz w:val="32"/>
          <w:szCs w:val="32"/>
        </w:rPr>
        <w:t>人，行政离休人员6人，退休人员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仿宋"/>
          <w:sz w:val="32"/>
          <w:szCs w:val="32"/>
        </w:rPr>
        <w:t>人。与201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年度决算数据相比，机关在职人员人数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人，离休人员减少1人，退休人员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人，在职人员人数变动与人事调动相关，离退休人员变动为自然增员减员。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年收入及支出总体情况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收入决算说明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年收入总计455,706,641.61元。其中：年初结转和结余698,676.37元，财政拨款收入455,007,965.24元。财政拨款收入较201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年399,729,514.92元，同比增长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278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</w:t>
      </w:r>
      <w:r>
        <w:rPr>
          <w:rFonts w:hint="eastAsia" w:ascii="仿宋" w:hAnsi="仿宋" w:eastAsia="仿宋" w:cs="仿宋"/>
          <w:sz w:val="32"/>
          <w:szCs w:val="32"/>
        </w:rPr>
        <w:t>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13.83</w:t>
      </w:r>
      <w:r>
        <w:rPr>
          <w:rFonts w:hint="eastAsia" w:ascii="仿宋" w:hAnsi="仿宋" w:eastAsia="仿宋" w:cs="仿宋"/>
          <w:sz w:val="32"/>
          <w:szCs w:val="32"/>
        </w:rPr>
        <w:t>%。一般公共预算财政拨款收入454,987,965.24元，较201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年399,705,214.92元同比增长55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282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750.32元，增长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13.83</w:t>
      </w:r>
      <w:r>
        <w:rPr>
          <w:rFonts w:hint="eastAsia" w:ascii="仿宋" w:hAnsi="仿宋" w:eastAsia="仿宋" w:cs="仿宋"/>
          <w:sz w:val="32"/>
          <w:szCs w:val="32"/>
        </w:rPr>
        <w:t>%。政府性基金预算财政拨款收入20,000.00元，较201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年24,300.00元同比减少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元，降低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17.70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入变动较大的项目有城乡社区支出、一般公共服务支出及社会保障和就业支出。本部门地处红墙边，涵盖西单商业区，为中央政府驻地，为保证本部门各项工作正常有序进行以及保持地区稳定与安全，因此对一般公共服务支出等项目预算相应增加。同时，为响应市区各级对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医疗救助及老龄</w:t>
      </w:r>
      <w:r>
        <w:rPr>
          <w:rFonts w:hint="eastAsia" w:ascii="仿宋" w:hAnsi="仿宋" w:eastAsia="仿宋" w:cs="仿宋"/>
          <w:sz w:val="32"/>
          <w:szCs w:val="32"/>
        </w:rPr>
        <w:t>工作部署，我街道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加大对低保低收入人员和退养人员等困难人员的医疗救助力度，</w:t>
      </w:r>
      <w:r>
        <w:rPr>
          <w:rFonts w:hint="eastAsia" w:ascii="仿宋" w:hAnsi="仿宋" w:eastAsia="仿宋" w:cs="仿宋"/>
          <w:sz w:val="32"/>
          <w:szCs w:val="32"/>
        </w:rPr>
        <w:t>大力开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展居家养老、医养结合进社区等</w:t>
      </w:r>
      <w:r>
        <w:rPr>
          <w:rFonts w:hint="eastAsia" w:ascii="仿宋" w:hAnsi="仿宋" w:eastAsia="仿宋" w:cs="仿宋"/>
          <w:sz w:val="32"/>
          <w:szCs w:val="32"/>
        </w:rPr>
        <w:t>相关工作，因此经费投入增长也较大。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支出决算说明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年支出总计454,234,207.03元。较201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年支出总计399,594,126.99元，同比增长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640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080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1.一般公共预算财政拨款支出454,229,707.03元。较201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年一般公共预算财政拨款支出399,531,024.09元，同比增长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698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682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13.69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%。（1）基本支出决算121,632,596.06元。（2）项目支出决算332,597,110.97元。主要项目是①一般公共服务支出②社会保障和就业支出③卫生与计划生育支出④城乡社区支出⑤住房保障支出。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2.政府性基金预算财政拨款支出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0元。较201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年政府性基金预算财政拨款支出63,102.90元，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同比减少58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602.9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降低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92.87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%。（1）基本支出决算0.00元。（2）项目支出决算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0元。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项目是医疗救助和高等教育新生入学救助资金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用于社会福利的彩票公益金支出。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三、主要支出情况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年全年支出45423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42万元，其中城乡社区支出13928.95万元，占总支出30.66%；社会保障和就业支出9649.68 万元，占总支出21.24%；一般公共服务支出18002.92万元，占总支出39.63%。此三项为本部门主要支出，支出合计占总支出91.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财政拨款“三公”经费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（一）“三公”经费的单位范围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北京市西城区人民政府西长安街街道办事处部门决算中因公出国（境）费、公务接待费、公务用车购置及运行维护费的支出街道本级及直属事业单位。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（二）“三公”经费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决算信息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情况说明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年部门决算“三公”经费财政拨款支出90,485.12元，较201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年度支出326,630.68元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236145.56元，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72.30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主要减少原因是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2019年未发生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因公出国（境）费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1.因公出国（境）费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2019年未发生因公出国（境）支出。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因公出国（境）团组情况：因公出国（境）团组数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个，累计人次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人。其中：科研类因公出国（境）0元，团组数0个，累计人次0人;统战类因公出国（境）0元，团组数0个，累计人次0人。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2.公务接待费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2019年未发生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公务接待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本年度本单位使用公共预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算财政拨款支出的国内公务接待费0.00元，接待批次0批，0人次；国（境）外公务接待费0.00元，接待批次0批，0人次。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3.公务用车购置及运行维护费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年财政拨款公务用车购置及运行维护费支出90,485.12元，其中公务用车购置费0.00元，公务用车运行维护费90,485.12元。本年度本部门使用公共预算财政拨款购置公务用车0辆，年末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运行维护费的公务用车保有量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年财政拨款公务用车运行维护费支出90,485.12元，较201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年支出99,930.68元减少9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445.56元，减低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9.45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%。公务用车保有量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辆，较201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年公务用车保有量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，原因是年中向城管局调拨出3辆城管队执法车辆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五、其他情况说明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机关运行经费执行情况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年本部门（含下属单位）履行一般行政事业管理职能、维持机关运行，用于一般公共预算安排的行政运行经费，合计87,679,531.88元。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（二）政府采购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执行情况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年涉及政府采购项目决算资金81,720,366.90元。其中：政府采购货物支出1,791,903.00元，政府采购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支出6,295,380.00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政府采购服务支出73,633,083.90元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；政府采购授予中小企业合同金额为35,499,653.90，占比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43.44%，其中，授予小微企业合同金额是5,380,886.00元，占中小企业合同金额的15.16%。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政府购买服务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年涉及政府购买服务项目2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个，决算资金103,118,907.18元。</w:t>
      </w:r>
    </w:p>
    <w:p>
      <w:pPr>
        <w:numPr>
          <w:ilvl w:val="0"/>
          <w:numId w:val="0"/>
        </w:numPr>
        <w:spacing w:line="560" w:lineRule="exact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重点绩效评价结果等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预算绩效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本部门对201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27个重点项目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财政支出绩效跟踪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，并对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3个项目进行了事后绩效评价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财政支出绩效跟踪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项目预算批复情况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年度西长安街街道办事处对2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个项目实施了绩效跟踪，资金预算总量为11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487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01 万元，占西长安街街道办事处公共财政项目支出（不含基建项目）33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34.65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个项目，全部为当年财政预算资金。</w:t>
      </w:r>
    </w:p>
    <w:p>
      <w:pPr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(2)项目资金使用情况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截至12月末，2019年度西长安街街道办事处27个绩效跟 踪项目实际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出11352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.20万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元，支付率为98.83%。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绩效目标完成情况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在街道工委、办事处的领导下，围绕201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年部门预算项目申报书中制定的绩效目标开展201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项目跟踪工作。其中：运行正常、实现绩效目标，预算完成率高于90.00%的有23个项目；没有实现年初的绩效目标，预算完成率高于90.00%的有1个项目；运行正常、基本能实现绩效目标，预算执行存在一定的偏差，预算完成率在75.00%-90.00%之间的有3个项目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预计社会效益实现情况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绩效跟踪的27个项目中，环境建设和城市管理项目4个，民生服务和保障项目14个，综治维稳项目7个，一般行政事务支出项目2个，从全年的项目产出看，已经取得了较明显的社会效益。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预算部门201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年度绩效评价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</w:t>
      </w:r>
    </w:p>
    <w:p>
      <w:pPr>
        <w:spacing w:line="560" w:lineRule="exact"/>
        <w:ind w:firstLine="640" w:firstLineChars="200"/>
        <w:rPr>
          <w:rFonts w:hint="eastAsia" w:ascii="仿宋" w:hAnsi="仿宋" w:eastAsia="宋体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本部门对3个重点项目进行了绩效评价，分别为：红墙文化氧吧运行费、垃圾分类全覆盖、平房区物业管理经费。其中，“红墙文化氧吧运行费”项目为部门自评项目，经过专家考评会结果——总体得分87.40分，绩效级别良好，其中：项目决策21.80分，项目管理24.40分，项目绩效41.20分。其他项目为财政部门统一组织评价项目，评价结果由区财政部门统一发布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（五）国有资产占用情况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截止201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年底，本部门固定资产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额137,375,440.27元，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已计提累计折旧39,603,147.33元。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其中：车辆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原值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249,441.00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元；单位价值50万元以上的通用设备3台（套）、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2,419,622.08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元，单位价值100万元以上的专用设备0台（套）、0万元。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（六）国有资本经营预算财政拨款情况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国有资本经营预算财政拨款。</w:t>
      </w:r>
    </w:p>
    <w:p>
      <w:pPr>
        <w:numPr>
          <w:ilvl w:val="0"/>
          <w:numId w:val="0"/>
        </w:numPr>
        <w:spacing w:line="56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）各类民生支出情况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民生支出项目名称、预算规模已在部门预算公开中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公开；补助标准、发放程序已按上级部门要求公开。城市最低生活保障金进行月度公示。每月在街道政务中心大屏公示当月享受人姓名，户籍所在社区，月领取金额。同时，社区在公示栏公示享受人员基本情况。民生保障办2019年民生资金已在街道政务服务大厅进行公示，涉及教育救助、临时救助、残疾人补贴三大类，惠及居民1100余人（户），资金均按照相关文件标准、程序发放落实到位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六、名称解释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运行经费是指为保障单位正常运行，用于购买货物和服务的各项资金，包括办公及印刷费、邮电费、差旅费、会议费、福利费、日常维修费、专用材料及一般设备购置费、网络运行维护费、办公用房租赁费、办公用房水电费、办公用房取暖费、办公用房物业管理费、公务用车运行维护以及其他费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第二部分、201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年度部门决算报表</w:t>
      </w: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一、201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年部门收支总体情况表</w:t>
      </w:r>
    </w:p>
    <w:tbl>
      <w:tblPr>
        <w:tblStyle w:val="2"/>
        <w:tblpPr w:leftFromText="180" w:rightFromText="180" w:vertAnchor="text" w:horzAnchor="page" w:tblpX="1789" w:tblpY="243"/>
        <w:tblOverlap w:val="never"/>
        <w:tblW w:w="8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1800"/>
        <w:gridCol w:w="2269"/>
        <w:gridCol w:w="17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年部门收支总体情况表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收入决算金额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支出决算金额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455,007,965.24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一般公共预算收入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454,987,965.24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政府性基金预算收入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预算外资金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财政专户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　行政事业性收费收入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　其他预算外收入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96,496,832.70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批准留用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17,527,159.48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其他支出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455,007,965.24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454,234,207.03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结余分配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698,676.37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年末结转和结余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1,472,434.58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收入总计：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455,706,641.61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支出总计：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455,706,641.61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二、201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年部门收入总体情况表</w:t>
      </w:r>
    </w:p>
    <w:tbl>
      <w:tblPr>
        <w:tblStyle w:val="2"/>
        <w:tblpPr w:leftFromText="180" w:rightFromText="180" w:vertAnchor="text" w:horzAnchor="page" w:tblpX="1800" w:tblpY="302"/>
        <w:tblOverlap w:val="never"/>
        <w:tblW w:w="8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4202"/>
        <w:gridCol w:w="1636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年部门收入总体情况表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财政拨款收入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455,007,965.24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455,007,965.24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其他人大事务支出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其他政协事务支出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135,446,374.60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135,446,374.60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信访事务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其他政府办公厅（室）及相关机构事务支出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其他统计信息事务支出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其他财政事务支出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其他纪检监察事务支出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其他民主党派及工商联事务支出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其他群众团体事务支出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其他组织事务支出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其他宣传事务支出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兵役征集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人民防空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民兵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基层司法业务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1,314,000.00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1,314,000.00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785,600.00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785,600.00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其他技术研究与开发支出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785,600.00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785,600.00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科普活动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2,331,154.20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2,331,154.20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2,018,357.72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2,018,357.72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群众文化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其他文化和旅游支出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134,200.00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134,200.00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群众体育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97,132,692.65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97,132,692.65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社会保险经办机构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民间组织管理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基层政权和社区建设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其他民政管理事务支出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17,172,486.38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17,172,486.38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归口管理的行政单位离退休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2,536,395.90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2,536,395.90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离退休人员管理机构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其他行政事业单位离退休支出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公益性岗位补贴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4,030,045.30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4,030,045.30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死亡抚恤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伤残抚恤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义务兵优待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其他优抚支出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1,974,434.50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1,974,434.50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8,224,875.93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8,224,875.93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军队移交政府的离退休人员安置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8,224,875.93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8,224,875.93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1,191,444.94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1,191,444.94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儿童福利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老年福利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795,900.00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795,900.00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其他社会福利支出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305,500.00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残疾人康复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残疾人就业和扶贫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残疾人生活和护理补贴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其他残疾人事业支出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红十字事业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其他红十字事业支出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城市最低生活保障金支出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467,446.43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467,446.43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467,446.43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467,446.43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城市特困人员救助供养支出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其他生活救助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其他城市生活救助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拥军优属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1,187,787.39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1,187,787.39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1,187,787.39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1,187,787.39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17,572,594.94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17,572,594.94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其他卫生健康管理事务支出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其他计划生育事务支出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行政单位医疗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其他行政事业单位医疗支出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城乡医疗救助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其他医疗救助支出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64,729.00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64,729.00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优抚对象医疗补助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64,729.00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64,729.00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老龄卫生健康事务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老龄卫生健康事务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139,372,735.56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139,372,735.56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城管执法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其他城乡社区管理事务支出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城乡社区规划与管理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61,335,055.32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61,335,055.32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61,335,055.32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61,335,055.32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其他保障性安居工程支出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2210203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购房补贴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安全监管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2296002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用于社会福利的彩票公益金支出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三、201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年部门支出总体情况表</w:t>
      </w:r>
    </w:p>
    <w:tbl>
      <w:tblPr>
        <w:tblStyle w:val="2"/>
        <w:tblpPr w:leftFromText="180" w:rightFromText="180" w:vertAnchor="text" w:horzAnchor="page" w:tblpX="1811" w:tblpY="322"/>
        <w:tblOverlap w:val="never"/>
        <w:tblW w:w="93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31"/>
        <w:gridCol w:w="1669"/>
        <w:gridCol w:w="1582"/>
        <w:gridCol w:w="1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年部门支出总体情况表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科目名称（项级）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基本支出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4"/>
                <w:rFonts w:hint="default" w:ascii="仿宋" w:hAnsi="仿宋" w:eastAsia="仿宋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454,234,207.03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121,632,596.06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332,601,610.97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92,349,643.52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其他人大事务支出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其他政协事务支出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135,446,374.60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47,766,842.72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信访事务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其他政府办公厅（室）及相关机构事务支出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其他统计信息事务支出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其他财政事务支出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其他纪检监察事务支出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其他民主党派及工商联事务支出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其他群众团体事务支出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其他组织事务支出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其他宣传事务支出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兵役征集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人民防空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民兵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基层司法业务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其他技术研究与开发支出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科普活动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1,979,207.72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1,979,207.72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群众文化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其他文化和旅游支出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95,050.00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群众体育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96,496,832.70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10,461,366.48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86,035,466.22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社会保险经办机构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民间组织管理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基层政权和社区建设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其他民政管理事务支出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17,172,486.38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10,461,366.48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6,711,119.90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归口管理的行政单位离退休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2,536,395.90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2,067,467.40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468,928.50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离退休人员管理机构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其他行政事业单位离退休支出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公益性岗位补贴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3,894,431.30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3,894,431.30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死亡抚恤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伤残抚恤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义务兵优待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其他优抚支出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1,838,820.50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1,838,820.50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军队移交政府的离退休人员安置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944,900.51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944,900.51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儿童福利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老年福利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612,833.17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612,833.17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其他社会福利支出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242,022.40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242,022.40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残疾人康复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残疾人就业和扶贫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残疾人生活和护理补贴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其他残疾人事业支出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红十字事业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其他红十字事业支出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城市最低生活保障金支出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城市特困人员救助供养支出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其他生活救助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其他城市生活救助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拥军优属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17,527,159.48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8,940,219.78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其他卫生健康管理事务支出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其他计划生育事务支出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行政单位医疗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其他行政事业单位医疗支出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城乡医疗救助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其他医疗救助支出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优抚对象医疗补助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老龄卫生健康事务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老龄卫生健康事务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城管执法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其他城乡社区管理事务支出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城乡社区规划与管理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其他保障性安居工程支出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购房补贴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安全监管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2296002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用于社会福利的彩票公益金支出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br w:type="page"/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政府采购情况表</w:t>
      </w:r>
    </w:p>
    <w:tbl>
      <w:tblPr>
        <w:tblStyle w:val="2"/>
        <w:tblpPr w:leftFromText="180" w:rightFromText="180" w:vertAnchor="text" w:horzAnchor="page" w:tblpX="1821" w:tblpY="278"/>
        <w:tblOverlap w:val="never"/>
        <w:tblW w:w="83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1"/>
        <w:gridCol w:w="24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2019年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eastAsia="zh-CN"/>
              </w:rPr>
              <w:t>政府采购情况表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0"/>
                <w:lang w:eastAsia="zh-CN"/>
              </w:rPr>
              <w:t>项目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政府采购支出信息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81,720,366.90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1,791,903.00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6,295,380.00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73,633,083.90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35,499,653.90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5,380,886.00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br w:type="page"/>
      </w: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五、2019年政府购买服务支出情况表</w:t>
      </w:r>
    </w:p>
    <w:tbl>
      <w:tblPr>
        <w:tblStyle w:val="2"/>
        <w:tblpPr w:leftFromText="180" w:rightFromText="180" w:vertAnchor="text" w:horzAnchor="page" w:tblpX="1821" w:tblpY="248"/>
        <w:tblOverlap w:val="never"/>
        <w:tblW w:w="83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3438"/>
        <w:gridCol w:w="24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2019年政府购买服务支出情况表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一级目录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二级目录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103,118,907.18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基本公共服务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93,728,642.76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71,844.00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就业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人才服务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社会保险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社会救助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336,208.00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养老服务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2,709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扶贫济困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残疾人福利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医疗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人口和计划生育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文化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323,475.00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体育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299,833.53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公共安全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19,225,680.00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科技推广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环境治理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11,453,347.00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水利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城市维护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59,308,375.23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社会管理性服务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3,211,906.52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社区建设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社会组织建设与管理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社会工作服务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1,698,436.52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法律援助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防灾救灾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人民调解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社区矫正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安置帮教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志愿服务运营管理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公共公益宣传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1,439,970.00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政府履职所需辅助性服务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6,178,357.90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法律服务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课题研究和社会调查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财务会计审计服务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会议和展览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工程服务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项目评审评估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绩效评价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技术业务培训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机关信息系统建设与维护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后勤服务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6,178,357.90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其他适宜由社会力量承担的服务事项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>
      <w:pPr>
        <w:spacing w:line="560" w:lineRule="exact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年财政拨款收支总体情况表</w:t>
      </w:r>
    </w:p>
    <w:tbl>
      <w:tblPr>
        <w:tblStyle w:val="2"/>
        <w:tblpPr w:leftFromText="180" w:rightFromText="180" w:vertAnchor="text" w:horzAnchor="page" w:tblpX="807" w:tblpY="221"/>
        <w:tblOverlap w:val="never"/>
        <w:tblW w:w="142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560"/>
        <w:gridCol w:w="1448"/>
        <w:gridCol w:w="1477"/>
        <w:gridCol w:w="1680"/>
        <w:gridCol w:w="1125"/>
        <w:gridCol w:w="1538"/>
        <w:gridCol w:w="1432"/>
        <w:gridCol w:w="1530"/>
        <w:gridCol w:w="1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年财政拨款收支总体情况表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112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决算数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决算数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项目(按支出性质和经济分类)</w:t>
            </w:r>
          </w:p>
        </w:tc>
        <w:tc>
          <w:tcPr>
            <w:tcW w:w="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一、一般公共预算财政拨款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454,987,965.24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121,632,596.06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121,632,596.06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二、政府性基金预算财政拨款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人员经费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113,440,907.90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113,440,907.90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日常公用经费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8,191,688.16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8,191,688.16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332,601,610.97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332,597,110.97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基本建设类项目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8,412,281.24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8,412,281.24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96,496,832.70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96,496,832.70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经济分类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支出合计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454,234,207.03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454,229,707.03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17,527,159.48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17,527,159.48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工资福利支出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142,508,429.88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142,508,429.88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商品和服务支出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256,375,757.19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256,375,757.19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对个人和家庭的补助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42,326,034.46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42,321,534.46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资本性支出（基本建设）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8,412,281.24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8,412,281.24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资本性支出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4,611,704.26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4,611,704.26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455,007,965.24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454,234,207.03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454,229,707.03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454,234,207.03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454,229,707.03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年初财政拨款结转和结余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698,676.37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年末财政拨款结转和结余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1,472,434.58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1,452,434.58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年末财政拨款结转和结余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1,472,434.58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1,452,434.58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一、一般公共预算财政拨款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694,176.37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基本支出结转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基本支出结转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二、政府性基金预算财政拨款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项目支出结转和结余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1,472,434.58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1,452,434.58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项目支出结转和结余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1,472,434.58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1,452,434.58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455,706,641.61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455,706,641.61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455,682,141.61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24,500.00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455,706,641.61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455,682,141.61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24,500.00</w:t>
            </w:r>
          </w:p>
        </w:tc>
      </w:tr>
    </w:tbl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</w:rPr>
        <w:sectPr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支出情况表</w:t>
      </w:r>
    </w:p>
    <w:tbl>
      <w:tblPr>
        <w:tblStyle w:val="2"/>
        <w:tblpPr w:leftFromText="180" w:rightFromText="180" w:vertAnchor="text" w:horzAnchor="page" w:tblpX="1778" w:tblpY="192"/>
        <w:tblOverlap w:val="never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684"/>
        <w:gridCol w:w="1734"/>
        <w:gridCol w:w="1702"/>
        <w:gridCol w:w="1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年一般公共预算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eastAsia="zh-CN"/>
              </w:rPr>
              <w:t>财政拨款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科目名称（项级）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454,229,707.03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121,632,596.06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332,597,110.97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180,029,175.40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92,349,643.52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其他人大事务支出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59,493.20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其他政协事务支出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43,099.00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135,446,374.60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47,766,842.72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87,679,531.88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5,104,407.90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信访事务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712,700.00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其他政府办公厅（室）及相关机构事务支出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41,949,734.82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其他统计信息事务支出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1,109,641.40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其他财政事务支出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398,508.60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其他纪检监察事务支出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59,945.00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其他民主党派及工商联事务支出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98,266.86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其他群众团体事务支出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499,780.67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其他组织事务支出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38,879,042.95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其他宣传事务支出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2,234,567.67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1,030,455.45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857,263.88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兵役征集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104,598.60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人民防空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44,540.52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民兵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708,124.76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基层司法业务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916,011.93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290,990.68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1,359,420.00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其他技术研究与开发支出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831,020.00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科普活动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228,400.00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2,292,004.20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1,979,207.72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1,979,207.72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群众文化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1,884,157.72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其他文化和旅游支出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95,050.00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群众体育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312,796.48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96,496,832.70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10,461,366.48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86,035,466.22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社会保险经办机构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1,042,894.70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46,186,363.95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民间组织管理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346,550.06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基层政权和社区建设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45,422,463.89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其他民政管理事务支出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17,172,486.38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10,461,366.48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6,711,119.90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归口管理的行政单位离退休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2,536,395.90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2,067,467.40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468,928.50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离退休人员管理机构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46,821.00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其他行政事业单位离退休支出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6,195,370.40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公益性岗位补贴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3,265,571.04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3,894,431.30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3,894,431.30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死亡抚恤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1,268,542.80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伤残抚恤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41,556.00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义务兵优待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745,512.00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其他优抚支出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1,838,820.50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1,838,820.50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军队移交政府的离退休人员安置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8,013,287.83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944,900.51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944,900.51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儿童福利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90,044.94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老年福利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612,833.17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612,833.17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其他社会福利支出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242,022.40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242,022.40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4,648,084.27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残疾人康复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639,928.02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残疾人就业和扶贫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213,442.00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残疾人生活和护理补贴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2,677,852.77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其他残疾人事业支出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1,116,861.48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红十字事业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其他红十字事业支出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242,421.20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城市最低生活保障金支出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7,601,860.07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292,996.92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城市特困人员救助供养支出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1,148,631.05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其他生活救助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2082501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其他城市生活救助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拥军优属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715,960.00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1,320,123.48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17,527,159.48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8,940,219.78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其他卫生健康管理事务支出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248,837.80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其他计划生育事务支出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1,137,413.77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8,586,939.70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行政单位医疗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其他行政事业单位医疗支出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532,500.00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3,456,738.69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城乡医疗救助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2,203,393.13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其他医疗救助支出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1,253,345.56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优抚对象医疗补助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19,293.54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老龄卫生健康事务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老龄卫生健康事务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4,077,935.98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139,289,512.76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53,343,685.39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城管执法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5,911,333.51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其他城乡社区管理事务支出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47,432,351.88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城乡社区规划与管理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8,822,281.24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61,251,832.52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15,871,713.61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14,921,346.00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其他保障性安居工程支出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16,588.00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14,904,758.00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购房补贴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7,169,660.00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安全监管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249,990.00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rPr>
          <w:rFonts w:ascii="仿宋" w:hAnsi="仿宋" w:eastAsia="仿宋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基本支出情况表</w:t>
      </w:r>
    </w:p>
    <w:tbl>
      <w:tblPr>
        <w:tblStyle w:val="2"/>
        <w:tblpPr w:leftFromText="180" w:rightFromText="180" w:vertAnchor="text" w:horzAnchor="page" w:tblpX="1800" w:tblpY="225"/>
        <w:tblOverlap w:val="never"/>
        <w:tblW w:w="8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3360"/>
        <w:gridCol w:w="2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年一般公共预算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eastAsia="zh-CN"/>
              </w:rPr>
              <w:t>财政拨款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基本支出情况表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经济科目编码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经济科目名称（款级）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121,632,596.06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111,480,268.90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12,437,298.00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59,759,957.00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奖金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1,150,935.00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30107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绩效工资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12,796,499.00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5,777,308.04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2,616,591.04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8,054,439.70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1,152,143.12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7,735,098.00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8,161,289.16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715,935.88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125,778.10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1,135,580.55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380,696.91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取暖费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435,570.10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维修（护）费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213,555.00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委托业务费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173,220.00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739,553.04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福利费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1,129,951.44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90,485.12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其他交通费用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2,998,763.02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1,960,639.00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30301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离休费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1,106,809.00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30302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839,700.00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30309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奖励金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14,130.00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资本性支出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30,399.00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其他资本性支出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30,399.00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ectPr>
          <w:pgSz w:w="12240" w:h="15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“三公”经费支出情况表</w:t>
      </w:r>
    </w:p>
    <w:tbl>
      <w:tblPr>
        <w:tblStyle w:val="2"/>
        <w:tblpPr w:leftFromText="180" w:rightFromText="180" w:vertAnchor="text" w:horzAnchor="page" w:tblpX="1773" w:tblpY="364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16"/>
        <w:gridCol w:w="1374"/>
        <w:gridCol w:w="1134"/>
        <w:gridCol w:w="1276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年一般公共预算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财政拨款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“三公”经费支出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决算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公务用车购置及运行维护费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2018年决算数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326,630.68 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226,700.00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99,930.68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99,930.68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946.74 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946.74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485.12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485.12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485.12</w:t>
            </w:r>
          </w:p>
        </w:tc>
      </w:tr>
    </w:tbl>
    <w:p>
      <w:pPr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注：1、因公出国（境）费用含因公赴香港、澳门、台湾地区的费用。</w:t>
      </w:r>
    </w:p>
    <w:p>
      <w:pPr>
        <w:ind w:firstLine="390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2、公务用车购置费含更新公务用车费用。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br w:type="page"/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年政府性基金预算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收支决算表</w:t>
      </w:r>
    </w:p>
    <w:tbl>
      <w:tblPr>
        <w:tblStyle w:val="2"/>
        <w:tblpPr w:leftFromText="180" w:rightFromText="180" w:vertAnchor="text" w:horzAnchor="page" w:tblpX="1893" w:tblpY="303"/>
        <w:tblOverlap w:val="never"/>
        <w:tblW w:w="8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774"/>
        <w:gridCol w:w="1375"/>
        <w:gridCol w:w="130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年政府性基金预算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财政拨款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科目名称（项级）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22960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彩票公益金安排的支出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2296002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用于社会福利的彩票公益金支出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年政府性基金预算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财政拨款基本支出情况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800" w:tblpY="225"/>
        <w:tblOverlap w:val="never"/>
        <w:tblW w:w="8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3360"/>
        <w:gridCol w:w="2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政府性基金预算</w:t>
            </w:r>
            <w:r>
              <w:rPr>
                <w:rFonts w:hint="eastAsia" w:ascii="仿宋" w:hAnsi="仿宋" w:eastAsia="仿宋" w:cs="楷体_GB2312"/>
                <w:b/>
                <w:color w:val="000000"/>
                <w:kern w:val="0"/>
                <w:sz w:val="28"/>
                <w:szCs w:val="28"/>
                <w:lang w:eastAsia="zh-CN"/>
              </w:rPr>
              <w:t>财政拨款</w:t>
            </w:r>
            <w:r>
              <w:rPr>
                <w:rFonts w:ascii="仿宋" w:hAnsi="仿宋" w:eastAsia="仿宋" w:cs="楷体_GB2312"/>
                <w:b/>
                <w:color w:val="000000"/>
                <w:kern w:val="0"/>
                <w:sz w:val="28"/>
                <w:szCs w:val="28"/>
              </w:rPr>
              <w:t>基本支出情况表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经济科目编码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经济科目名称（款级）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本部门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无此项支出。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BBCFC4"/>
    <w:multiLevelType w:val="singleLevel"/>
    <w:tmpl w:val="99BBCF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51F066"/>
    <w:multiLevelType w:val="singleLevel"/>
    <w:tmpl w:val="FE51F0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030E"/>
    <w:rsid w:val="04807562"/>
    <w:rsid w:val="05EF307B"/>
    <w:rsid w:val="0B221B31"/>
    <w:rsid w:val="0C613150"/>
    <w:rsid w:val="162F622B"/>
    <w:rsid w:val="16514EBA"/>
    <w:rsid w:val="16E5097C"/>
    <w:rsid w:val="19CB7583"/>
    <w:rsid w:val="254D1740"/>
    <w:rsid w:val="275201DB"/>
    <w:rsid w:val="27D00D91"/>
    <w:rsid w:val="36E36C9F"/>
    <w:rsid w:val="388B3DC3"/>
    <w:rsid w:val="3D1431ED"/>
    <w:rsid w:val="3F462DA5"/>
    <w:rsid w:val="40E07472"/>
    <w:rsid w:val="48B20367"/>
    <w:rsid w:val="4C4B4FF8"/>
    <w:rsid w:val="4D29405B"/>
    <w:rsid w:val="4F1E126F"/>
    <w:rsid w:val="5A0D0CD0"/>
    <w:rsid w:val="60AC030E"/>
    <w:rsid w:val="66014397"/>
    <w:rsid w:val="6AC47DC1"/>
    <w:rsid w:val="6F3459F0"/>
    <w:rsid w:val="730968AD"/>
    <w:rsid w:val="76AE602E"/>
    <w:rsid w:val="7BC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2020-08-21T02:23:00Z</dcterms:created>
  <dc:creator>user</dc:creator>
  <cp:lastModifiedBy>程文</cp:lastModifiedBy>
  <dcterms:modified xsi:type="dcterms:W3CDTF">2020-08-31T05:58:36Z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