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4：</w:t>
      </w:r>
    </w:p>
    <w:bookmarkEnd w:id="0"/>
    <w:p>
      <w:pPr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2019年</w:t>
      </w:r>
      <w:r>
        <w:rPr>
          <w:rFonts w:hint="eastAsia"/>
          <w:lang w:eastAsia="zh-CN"/>
        </w:rPr>
        <w:t>政府采购情况表</w:t>
      </w:r>
    </w:p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单位：元</w:t>
      </w:r>
    </w:p>
    <w:tbl>
      <w:tblPr>
        <w:tblStyle w:val="2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6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（一）政府采购支出合计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1．政府采购货物支出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2．政府采购工程支出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3．政府采购服务支出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（二）政府采购授予中小企业合同金额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其中：授予小微企业合同金额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</w:tbl>
    <w:p>
      <w:pPr>
        <w:jc w:val="center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05296"/>
    <w:rsid w:val="15037D83"/>
    <w:rsid w:val="212B18F6"/>
    <w:rsid w:val="641C4637"/>
    <w:rsid w:val="69FB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2020-09-01T02:52:00Z</dcterms:created>
  <dc:creator>admin</dc:creator>
  <cp:lastModifiedBy>admin</cp:lastModifiedBy>
  <dcterms:modified xsi:type="dcterms:W3CDTF">2020-09-02T03:10:36Z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