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tabs>
          <w:tab w:val="left" w:pos="0"/>
          <w:tab w:val="left" w:pos="3150"/>
          <w:tab w:val="left" w:pos="7875"/>
          <w:tab w:val="left" w:pos="8505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before="156" w:beforeLines="50" w:after="156" w:afterLines="50" w:line="560" w:lineRule="exact"/>
        <w:ind w:left="0" w:leftChars="0" w:right="0" w:rightChars="0"/>
        <w:jc w:val="center"/>
        <w:outlineLvl w:val="9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西城区行政事业单位</w:t>
      </w:r>
      <w:r>
        <w:rPr>
          <w:rFonts w:ascii="宋体" w:hAnsi="宋体"/>
          <w:b/>
          <w:sz w:val="44"/>
          <w:szCs w:val="44"/>
        </w:rPr>
        <w:t>2019年国有资产</w:t>
      </w:r>
    </w:p>
    <w:p>
      <w:pPr>
        <w:keepNext w:val="0"/>
        <w:keepLines w:val="0"/>
        <w:pageBreakBefore w:val="0"/>
        <w:tabs>
          <w:tab w:val="left" w:pos="0"/>
          <w:tab w:val="left" w:pos="3150"/>
          <w:tab w:val="left" w:pos="7875"/>
          <w:tab w:val="left" w:pos="8505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before="156" w:beforeLines="50" w:after="156" w:afterLines="50" w:line="560" w:lineRule="exact"/>
        <w:ind w:left="0" w:leftChars="0" w:right="0" w:rightChars="0"/>
        <w:jc w:val="center"/>
        <w:outlineLvl w:val="9"/>
        <w:rPr>
          <w:rFonts w:ascii="楷体_GB2312" w:hAnsi="宋体" w:eastAsia="楷体_GB2312" w:cs="仿宋_GB2312"/>
          <w:spacing w:val="-20"/>
          <w:sz w:val="44"/>
          <w:szCs w:val="44"/>
          <w:lang w:val="zh-CN"/>
        </w:rPr>
      </w:pPr>
      <w:r>
        <w:rPr>
          <w:rFonts w:ascii="宋体" w:hAnsi="宋体"/>
          <w:b/>
          <w:sz w:val="44"/>
          <w:szCs w:val="44"/>
        </w:rPr>
        <w:t>管理情况的</w:t>
      </w:r>
      <w:r>
        <w:rPr>
          <w:rFonts w:hint="eastAsia" w:ascii="宋体" w:hAnsi="宋体"/>
          <w:b/>
          <w:sz w:val="44"/>
          <w:szCs w:val="44"/>
        </w:rPr>
        <w:t>审计调查结果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outlineLvl w:val="9"/>
        <w:rPr>
          <w:rFonts w:ascii="宋体" w:cs="宋体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baseline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根据《中华人民共和国审计法》第二十七条的规定，西城区审计局对</w:t>
      </w:r>
      <w:bookmarkStart w:id="0" w:name="jbqkbt"/>
      <w:r>
        <w:rPr>
          <w:rFonts w:ascii="仿宋_GB2312" w:hAnsi="仿宋_GB2312" w:eastAsia="仿宋_GB2312" w:cs="仿宋_GB2312"/>
          <w:sz w:val="32"/>
          <w:szCs w:val="32"/>
        </w:rPr>
        <w:t>北京市西城区财政局（以下简称</w:t>
      </w:r>
      <w:r>
        <w:rPr>
          <w:rFonts w:hint="eastAsia" w:ascii="仿宋_GB2312" w:hAnsi="仿宋_GB2312" w:eastAsia="仿宋_GB2312" w:cs="仿宋_GB2312"/>
          <w:sz w:val="32"/>
          <w:szCs w:val="32"/>
        </w:rPr>
        <w:t>区财政局）</w:t>
      </w:r>
      <w:r>
        <w:rPr>
          <w:rFonts w:ascii="仿宋_GB2312" w:hAnsi="仿宋_GB2312" w:eastAsia="仿宋_GB2312" w:cs="仿宋_GB2312"/>
          <w:sz w:val="32"/>
          <w:szCs w:val="32"/>
        </w:rPr>
        <w:t>2019年西城区行政事业单位国有资产管理情况进行了专项审计调查。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baseline"/>
        <w:outlineLvl w:val="9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一、基本情况</w:t>
      </w:r>
      <w:bookmarkEnd w:id="0"/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5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事业单位国有资产包括用国家财政资金形成的资产、国家调拨的资产、按照国家规定组织收入形成的资产，以及接受捐赠和其他经法律确认为国家所有的资产，其表现形式为固定资产、流动资产、无形资产等。西城区行政事业单位国有资产管理，实行西城区人民政府统一所有，区财政局综合监管，单位、部门占有、使用的管理体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计调查结果表明，区财政局作为区国有资产综合管理部门，能够依据相关政策规定，结合我区实际工作，制定相关国有资产管理办法并组织实施。本次抽查的资产使用单位，能够依据规定，制定本单位资产管理制度并进行了有效的管理。在资产的配置、使用、处置、评估与清查等环节，各资产使用单位大多能够按规定提出资产的配置、处置申请；区财政局能够按照程序进行审批。</w:t>
      </w:r>
      <w:r>
        <w:rPr>
          <w:rFonts w:hint="eastAsia" w:ascii="仿宋_GB2312" w:eastAsia="仿宋_GB2312"/>
          <w:sz w:val="32"/>
          <w:szCs w:val="32"/>
        </w:rPr>
        <w:t>同时也发现存在</w:t>
      </w:r>
      <w:r>
        <w:rPr>
          <w:rFonts w:ascii="仿宋_GB2312" w:hAnsi="仿宋_GB2312" w:eastAsia="仿宋_GB2312" w:cs="仿宋_GB2312"/>
          <w:sz w:val="32"/>
          <w:szCs w:val="32"/>
        </w:rPr>
        <w:t>部分管理制度不健全、涉及机构撤销的单位资产清查手续不完备、未及时对资产进行调拨、未对闲置或者超标准配置的资产进行调剂、坏账未及时核销的资产管理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二、审计发现的主要问题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有些国有资产管理办法尚不健全，部分资产使用单位具体管理监督责任未落实到位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机构改革涉及国有资产清查的部分单位，存在报送审批资料缺乏一致性、规范性的依据和标准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部分机构改革单位资产处置不及时</w:t>
      </w:r>
      <w:r>
        <w:rPr>
          <w:rFonts w:ascii="仿宋_GB2312" w:hAnsi="仿宋_GB2312" w:eastAsia="仿宋_GB2312" w:cs="仿宋_GB2312"/>
          <w:sz w:val="32"/>
          <w:szCs w:val="32"/>
        </w:rPr>
        <w:t>,存在监管不严格的情况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部分国有资产长期超标准配置、闲置低效问题未得到解决，未充分发挥资产调剂职能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（五）货币性资产损失未及时进行核销，形成的坏账损失监管不到位。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三、审计建议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仿宋_GB2312" w:hAnsi="Calibri" w:eastAsia="仿宋_GB2312" w:cs="Calibri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切实落实我区各级国有资产监督管理责任，完善资产清查工作的制度建设，健全国有资产调拨环节的动态监管，充分发挥资产的组织调剂职能，关注坏账核销问题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Calibri" w:eastAsia="仿宋_GB2312" w:cs="Calibri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四、审计发现问题的初步整改情况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</w:pPr>
      <w:r>
        <w:rPr>
          <w:rFonts w:hint="eastAsia" w:ascii="仿宋_GB2312" w:hAnsi="楷体" w:eastAsia="仿宋_GB2312" w:cs="仿宋_GB2312"/>
          <w:sz w:val="32"/>
          <w:szCs w:val="32"/>
        </w:rPr>
        <w:t>区相关部门对审计调查发现的问题，非常重视，相关问题正在整改中。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4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4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E6363"/>
    <w:rsid w:val="410C63AE"/>
    <w:rsid w:val="5A5E63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2020-11-17T04:02:00Z</dcterms:created>
  <dc:creator>陈瑀</dc:creator>
  <cp:lastModifiedBy>陈瑀</cp:lastModifiedBy>
  <dcterms:modified xsi:type="dcterms:W3CDTF">2020-11-17T04:04:02Z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