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64"/>
        </w:tabs>
        <w:spacing w:line="560" w:lineRule="exact"/>
        <w:jc w:val="center"/>
        <w:rPr>
          <w:rFonts w:ascii="方正小标宋简体" w:hAnsi="华文中宋" w:eastAsia="方正小标宋简体"/>
          <w:b/>
          <w:kern w:val="0"/>
          <w:sz w:val="44"/>
          <w:szCs w:val="44"/>
        </w:rPr>
      </w:pPr>
      <w:bookmarkStart w:id="0" w:name="_GoBack"/>
      <w:r>
        <w:rPr>
          <w:rFonts w:hint="eastAsia" w:ascii="方正小标宋简体" w:hAnsi="华文中宋" w:eastAsia="方正小标宋简体"/>
          <w:b/>
          <w:kern w:val="0"/>
          <w:sz w:val="44"/>
          <w:szCs w:val="44"/>
        </w:rPr>
        <w:t>北京市西城区人民政府展览路街道办事处2020年推进法治政府建设报告</w:t>
      </w:r>
    </w:p>
    <w:bookmarkEnd w:id="0"/>
    <w:p>
      <w:pPr>
        <w:tabs>
          <w:tab w:val="left" w:pos="8164"/>
        </w:tabs>
        <w:spacing w:line="560" w:lineRule="exact"/>
        <w:rPr>
          <w:rFonts w:ascii="仿宋_GB2312" w:hAnsi="仿宋_GB2312" w:cs="仿宋_GB2312"/>
          <w:sz w:val="32"/>
          <w:szCs w:val="32"/>
        </w:rPr>
      </w:pPr>
    </w:p>
    <w:p>
      <w:pPr>
        <w:tabs>
          <w:tab w:val="left" w:pos="8164"/>
        </w:tabs>
        <w:spacing w:line="560" w:lineRule="exact"/>
        <w:rPr>
          <w:rFonts w:ascii="仿宋_GB2312" w:hAnsi="仿宋_GB2312" w:cs="仿宋_GB2312"/>
          <w:sz w:val="32"/>
          <w:szCs w:val="32"/>
        </w:rPr>
      </w:pPr>
      <w:r>
        <w:rPr>
          <w:rFonts w:hint="eastAsia" w:ascii="仿宋_GB2312" w:hAnsi="仿宋_GB2312" w:cs="仿宋_GB2312"/>
          <w:sz w:val="32"/>
          <w:szCs w:val="32"/>
        </w:rPr>
        <w:t xml:space="preserve">区委区政府：  </w:t>
      </w:r>
    </w:p>
    <w:p>
      <w:pPr>
        <w:tabs>
          <w:tab w:val="left" w:pos="8164"/>
        </w:tabs>
        <w:spacing w:line="560" w:lineRule="exact"/>
        <w:ind w:firstLine="645"/>
        <w:rPr>
          <w:rFonts w:ascii="仿宋_GB2312" w:hAnsi="仿宋_GB2312" w:cs="仿宋_GB2312"/>
          <w:sz w:val="32"/>
          <w:szCs w:val="32"/>
        </w:rPr>
      </w:pPr>
      <w:r>
        <w:rPr>
          <w:rFonts w:ascii="仿宋_GB2312" w:hAnsi="仿宋_GB2312" w:cs="仿宋_GB2312"/>
          <w:sz w:val="32"/>
          <w:szCs w:val="32"/>
        </w:rPr>
        <w:t>20</w:t>
      </w:r>
      <w:r>
        <w:rPr>
          <w:rFonts w:hint="eastAsia" w:ascii="仿宋_GB2312" w:hAnsi="仿宋_GB2312" w:cs="仿宋_GB2312"/>
          <w:sz w:val="32"/>
          <w:szCs w:val="32"/>
        </w:rPr>
        <w:t>20</w:t>
      </w:r>
      <w:r>
        <w:rPr>
          <w:rFonts w:ascii="仿宋_GB2312" w:hAnsi="仿宋_GB2312" w:cs="仿宋_GB2312"/>
          <w:sz w:val="32"/>
          <w:szCs w:val="32"/>
        </w:rPr>
        <w:t>年，</w:t>
      </w:r>
      <w:r>
        <w:rPr>
          <w:rFonts w:hint="eastAsia" w:ascii="仿宋_GB2312" w:hAnsi="仿宋_GB2312" w:cs="仿宋_GB2312"/>
          <w:sz w:val="32"/>
          <w:szCs w:val="32"/>
        </w:rPr>
        <w:t>展览路街道工委、办事处</w:t>
      </w:r>
      <w:r>
        <w:rPr>
          <w:rFonts w:ascii="仿宋_GB2312" w:hAnsi="仿宋_GB2312" w:cs="仿宋_GB2312"/>
          <w:sz w:val="32"/>
          <w:szCs w:val="32"/>
        </w:rPr>
        <w:t>按照</w:t>
      </w:r>
      <w:r>
        <w:rPr>
          <w:rFonts w:hint="eastAsia" w:ascii="仿宋_GB2312" w:hAnsi="仿宋_GB2312" w:cs="仿宋_GB2312"/>
          <w:sz w:val="32"/>
          <w:szCs w:val="32"/>
        </w:rPr>
        <w:t>北京市、西城区关于法治政府建设</w:t>
      </w:r>
      <w:r>
        <w:rPr>
          <w:rFonts w:ascii="仿宋_GB2312" w:hAnsi="仿宋_GB2312" w:cs="仿宋_GB2312"/>
          <w:sz w:val="32"/>
          <w:szCs w:val="32"/>
        </w:rPr>
        <w:t>的部署</w:t>
      </w:r>
      <w:r>
        <w:rPr>
          <w:rFonts w:hint="eastAsia" w:ascii="仿宋_GB2312" w:hAnsi="仿宋_GB2312" w:cs="仿宋_GB2312"/>
          <w:sz w:val="32"/>
          <w:szCs w:val="32"/>
        </w:rPr>
        <w:t>要求</w:t>
      </w:r>
      <w:r>
        <w:rPr>
          <w:rFonts w:ascii="仿宋_GB2312" w:hAnsi="仿宋_GB2312" w:cs="仿宋_GB2312"/>
          <w:sz w:val="32"/>
          <w:szCs w:val="32"/>
        </w:rPr>
        <w:t>，全面落实《法治政府建设实施纲要(2015—2020年)》各项任务，以</w:t>
      </w:r>
      <w:r>
        <w:rPr>
          <w:rFonts w:hint="eastAsia" w:ascii="仿宋_GB2312" w:hAnsi="仿宋_GB2312" w:cs="仿宋_GB2312"/>
          <w:sz w:val="32"/>
          <w:szCs w:val="32"/>
        </w:rPr>
        <w:t>依法履行政府职能</w:t>
      </w:r>
      <w:r>
        <w:rPr>
          <w:rFonts w:ascii="仿宋_GB2312" w:hAnsi="仿宋_GB2312" w:cs="仿宋_GB2312"/>
          <w:sz w:val="32"/>
          <w:szCs w:val="32"/>
        </w:rPr>
        <w:t>为主线，</w:t>
      </w:r>
      <w:r>
        <w:rPr>
          <w:rFonts w:hint="eastAsia" w:ascii="仿宋_GB2312" w:hAnsi="仿宋_GB2312" w:cs="仿宋_GB2312"/>
          <w:sz w:val="32"/>
          <w:szCs w:val="32"/>
        </w:rPr>
        <w:t>以政府信息公开工作为重点，以规范行政行为为抓手不断开拓</w:t>
      </w:r>
      <w:r>
        <w:rPr>
          <w:rFonts w:ascii="仿宋_GB2312" w:hAnsi="仿宋_GB2312" w:cs="仿宋_GB2312"/>
          <w:sz w:val="32"/>
          <w:szCs w:val="32"/>
        </w:rPr>
        <w:t>法治政府建设新局面，为</w:t>
      </w:r>
      <w:r>
        <w:rPr>
          <w:rFonts w:hint="eastAsia" w:ascii="仿宋_GB2312" w:hAnsi="仿宋_GB2312" w:cs="仿宋_GB2312"/>
          <w:sz w:val="32"/>
          <w:szCs w:val="32"/>
        </w:rPr>
        <w:t>辖区</w:t>
      </w:r>
      <w:r>
        <w:rPr>
          <w:rFonts w:ascii="仿宋_GB2312" w:hAnsi="仿宋_GB2312" w:cs="仿宋_GB2312"/>
          <w:sz w:val="32"/>
          <w:szCs w:val="32"/>
        </w:rPr>
        <w:t>和谐稳定</w:t>
      </w:r>
      <w:r>
        <w:rPr>
          <w:rFonts w:hint="eastAsia" w:ascii="仿宋_GB2312" w:hAnsi="仿宋_GB2312" w:cs="仿宋_GB2312"/>
          <w:sz w:val="32"/>
          <w:szCs w:val="32"/>
        </w:rPr>
        <w:t>发展</w:t>
      </w:r>
      <w:r>
        <w:rPr>
          <w:rFonts w:ascii="仿宋_GB2312" w:hAnsi="仿宋_GB2312" w:cs="仿宋_GB2312"/>
          <w:sz w:val="32"/>
          <w:szCs w:val="32"/>
        </w:rPr>
        <w:t>提供了有力法治保障。现将有关情况报告如下：</w:t>
      </w:r>
    </w:p>
    <w:p>
      <w:pPr>
        <w:pStyle w:val="8"/>
        <w:widowControl/>
        <w:numPr>
          <w:ilvl w:val="0"/>
          <w:numId w:val="1"/>
        </w:numPr>
        <w:spacing w:before="136"/>
        <w:ind w:left="0" w:firstLine="640" w:firstLineChars="0"/>
        <w:jc w:val="left"/>
        <w:rPr>
          <w:rFonts w:ascii="黑体" w:hAnsi="黑体" w:eastAsia="黑体" w:cs="宋体"/>
          <w:kern w:val="0"/>
          <w:sz w:val="32"/>
          <w:szCs w:val="32"/>
        </w:rPr>
      </w:pPr>
      <w:r>
        <w:rPr>
          <w:rFonts w:hint="eastAsia" w:ascii="黑体" w:hAnsi="黑体" w:eastAsia="黑体" w:cs="宋体"/>
          <w:kern w:val="0"/>
          <w:sz w:val="32"/>
          <w:szCs w:val="32"/>
        </w:rPr>
        <w:t xml:space="preserve">推进法治政府建设的主要举措和成效 </w:t>
      </w:r>
    </w:p>
    <w:p>
      <w:pPr>
        <w:widowControl/>
        <w:spacing w:before="136" w:line="560" w:lineRule="exact"/>
        <w:ind w:firstLine="472" w:firstLineChars="147"/>
        <w:jc w:val="left"/>
        <w:rPr>
          <w:rFonts w:ascii="黑体" w:hAnsi="黑体" w:eastAsia="黑体" w:cs="宋体"/>
          <w:b/>
          <w:kern w:val="0"/>
          <w:sz w:val="32"/>
          <w:szCs w:val="32"/>
        </w:rPr>
      </w:pPr>
      <w:r>
        <w:rPr>
          <w:rFonts w:hint="eastAsia" w:ascii="仿宋_GB2312" w:hAnsi="ˎ̥" w:cs="宋体"/>
          <w:b/>
          <w:kern w:val="0"/>
          <w:sz w:val="32"/>
          <w:szCs w:val="32"/>
        </w:rPr>
        <w:t>（一）深刻领会“四个条例”精神，全面推进精治共治法治</w:t>
      </w:r>
    </w:p>
    <w:p>
      <w:pPr>
        <w:spacing w:line="560" w:lineRule="exact"/>
        <w:ind w:firstLine="643" w:firstLineChars="200"/>
        <w:rPr>
          <w:rFonts w:ascii="仿宋_GB2312"/>
          <w:sz w:val="32"/>
          <w:szCs w:val="32"/>
        </w:rPr>
      </w:pPr>
      <w:r>
        <w:rPr>
          <w:rFonts w:hint="eastAsia" w:ascii="仿宋_GB2312"/>
          <w:b/>
          <w:bCs/>
          <w:sz w:val="32"/>
          <w:szCs w:val="32"/>
        </w:rPr>
        <w:t>一是紧紧围绕构建党委领导、政府负责、多元共治，推进《北京市街道办事处条例》的落实。</w:t>
      </w:r>
      <w:r>
        <w:rPr>
          <w:rFonts w:hint="eastAsia" w:ascii="仿宋_GB2312"/>
          <w:sz w:val="32"/>
          <w:szCs w:val="32"/>
        </w:rPr>
        <w:t>落实“接得住，管得好”的改革要求，整合综合行政执法队伍，建立有效的工作体系框架，规范街道综合行政执法工作。优化整合基层一线力量，进一步壮大社区服务队伍，巩固完善社区和街巷治理工作机制，促进街道统筹、服务、管理、动员“四个能力”整体提升。</w:t>
      </w:r>
    </w:p>
    <w:p>
      <w:pPr>
        <w:spacing w:line="560" w:lineRule="exact"/>
        <w:ind w:firstLine="643" w:firstLineChars="200"/>
        <w:rPr>
          <w:rFonts w:ascii="仿宋_GB2312"/>
          <w:sz w:val="32"/>
          <w:szCs w:val="32"/>
        </w:rPr>
      </w:pPr>
      <w:r>
        <w:rPr>
          <w:rFonts w:hint="eastAsia" w:ascii="仿宋_GB2312"/>
          <w:b/>
          <w:bCs/>
          <w:sz w:val="32"/>
          <w:szCs w:val="32"/>
        </w:rPr>
        <w:t>二是坚持精细化管理，抓好减量、示范和宣传引导，推进《北京市生活垃圾管理条例》的落实。</w:t>
      </w:r>
      <w:r>
        <w:rPr>
          <w:rFonts w:hint="eastAsia" w:ascii="仿宋_GB2312"/>
          <w:sz w:val="32"/>
          <w:szCs w:val="32"/>
        </w:rPr>
        <w:t>加强硬件设施改造，为垃圾分类小区制作宣传栏和公示牌375套，建设改建桶站</w:t>
      </w:r>
      <w:r>
        <w:rPr>
          <w:rFonts w:ascii="仿宋_GB2312"/>
          <w:sz w:val="32"/>
          <w:szCs w:val="32"/>
        </w:rPr>
        <w:t>311</w:t>
      </w:r>
      <w:r>
        <w:rPr>
          <w:rFonts w:hint="eastAsia" w:ascii="仿宋_GB2312"/>
          <w:sz w:val="32"/>
          <w:szCs w:val="32"/>
        </w:rPr>
        <w:t>个，全部符合“四有”标准。广泛动员各级党组织和广大党员争当垃圾分类志愿者，采取“包桶站桶”的方式提升居民知晓率、参与率和正确投放率，累计参与1</w:t>
      </w:r>
      <w:r>
        <w:rPr>
          <w:rFonts w:ascii="仿宋_GB2312"/>
          <w:sz w:val="32"/>
          <w:szCs w:val="32"/>
        </w:rPr>
        <w:t>8998</w:t>
      </w:r>
      <w:r>
        <w:rPr>
          <w:rFonts w:hint="eastAsia" w:ascii="仿宋_GB2312"/>
          <w:sz w:val="32"/>
          <w:szCs w:val="32"/>
        </w:rPr>
        <w:t>人次。</w:t>
      </w:r>
    </w:p>
    <w:p>
      <w:pPr>
        <w:spacing w:line="560" w:lineRule="exact"/>
        <w:ind w:firstLine="643" w:firstLineChars="200"/>
        <w:rPr>
          <w:rFonts w:ascii="仿宋_GB2312"/>
          <w:sz w:val="32"/>
          <w:szCs w:val="32"/>
        </w:rPr>
      </w:pPr>
      <w:r>
        <w:rPr>
          <w:rFonts w:hint="eastAsia" w:ascii="仿宋_GB2312"/>
          <w:b/>
          <w:bCs/>
          <w:sz w:val="32"/>
          <w:szCs w:val="32"/>
        </w:rPr>
        <w:t>三是从做强街道、做优社区、做实机制、做活治理入手，着力提高“三率”，推进《北京市物业管理条例》的落实。</w:t>
      </w:r>
      <w:r>
        <w:rPr>
          <w:rFonts w:hint="eastAsia" w:ascii="仿宋_GB2312"/>
          <w:sz w:val="32"/>
          <w:szCs w:val="32"/>
        </w:rPr>
        <w:t>试点郝家湾小区准物业化服务管理项目，</w:t>
      </w:r>
      <w:r>
        <w:rPr>
          <w:rFonts w:hint="eastAsia" w:ascii="仿宋_GB2312" w:hAnsi="宋体" w:cs="宋体"/>
          <w:kern w:val="0"/>
          <w:sz w:val="32"/>
          <w:szCs w:val="32"/>
        </w:rPr>
        <w:t>将332个老旧小区规划为142个小区，完善小区基础台账信息，做到底数清、情况明。制定系列规范性文件，确保各小区业委会（物管会）的组建工作规范有序，组建程序合法合规，整体推进组建成立物业管理委员会117个。</w:t>
      </w:r>
    </w:p>
    <w:p>
      <w:pPr>
        <w:adjustRightInd w:val="0"/>
        <w:snapToGrid w:val="0"/>
        <w:spacing w:line="560" w:lineRule="exact"/>
        <w:ind w:firstLine="643" w:firstLineChars="200"/>
        <w:rPr>
          <w:rFonts w:hint="eastAsia" w:ascii="仿宋_GB2312"/>
          <w:sz w:val="32"/>
          <w:szCs w:val="32"/>
        </w:rPr>
      </w:pPr>
      <w:r>
        <w:rPr>
          <w:rFonts w:hint="eastAsia" w:ascii="仿宋_GB2312"/>
          <w:b/>
          <w:bCs/>
          <w:sz w:val="32"/>
          <w:szCs w:val="32"/>
        </w:rPr>
        <w:t>四是结合疫情防控和文明城区创建，推进《北京市文明行为促进条例》的落实。</w:t>
      </w:r>
      <w:r>
        <w:rPr>
          <w:rFonts w:hint="eastAsia" w:ascii="仿宋_GB2312"/>
          <w:sz w:val="32"/>
          <w:szCs w:val="32"/>
        </w:rPr>
        <w:t>通过开展“爱国卫生月”、文明路口引导行动、街道“文明小使者”故宫行、垃圾桶值守等活动，引导市民形成文明健康的生活方式和共建共治共享的城市家园意识。</w:t>
      </w:r>
    </w:p>
    <w:p>
      <w:pPr>
        <w:spacing w:line="560" w:lineRule="exact"/>
        <w:ind w:firstLine="643" w:firstLineChars="200"/>
        <w:rPr>
          <w:rFonts w:hint="eastAsia" w:ascii="楷体_GB2312" w:hAnsi="黑体" w:eastAsia="楷体_GB2312"/>
          <w:b/>
          <w:bCs/>
          <w:color w:val="000000"/>
          <w:sz w:val="32"/>
          <w:szCs w:val="32"/>
        </w:rPr>
      </w:pPr>
      <w:r>
        <w:rPr>
          <w:rFonts w:hint="eastAsia" w:ascii="楷体_GB2312" w:hAnsi="黑体" w:eastAsia="楷体_GB2312"/>
          <w:b/>
          <w:bCs/>
          <w:color w:val="000000"/>
          <w:sz w:val="32"/>
          <w:szCs w:val="32"/>
        </w:rPr>
        <w:t>（二）优化地区单位服务包，保障区域经济稳中向好</w:t>
      </w:r>
    </w:p>
    <w:p>
      <w:pPr>
        <w:spacing w:line="560" w:lineRule="exact"/>
        <w:ind w:firstLine="640" w:firstLineChars="200"/>
        <w:rPr>
          <w:rFonts w:ascii="楷体_GB2312" w:hAnsi="黑体" w:eastAsia="楷体_GB2312"/>
          <w:b/>
          <w:bCs/>
          <w:color w:val="000000"/>
          <w:sz w:val="32"/>
          <w:szCs w:val="32"/>
        </w:rPr>
      </w:pPr>
      <w:r>
        <w:rPr>
          <w:rFonts w:hint="eastAsia" w:ascii="仿宋_GB2312"/>
          <w:sz w:val="32"/>
          <w:szCs w:val="32"/>
        </w:rPr>
        <w:t>加强企业常态化走访对接，将执法转变为服务，打造“亲”、“清”政商关系。疫情期间，全力协调保障复工复产相关工作，街道领导带队走访重点企业，对防疫工作进行督导检查，听取企业受疫情影响反映的问题和诉求，与走访企业进行“点对点”沟通，积极作为、靠前服务，解决企业经营难题。针对企业反应强烈的运营成本增大，营收受损严重，车位紧缺等问题，制定“企业需求清单”。积极协调城管、税务等部门，统筹各方力量，制定合理解决方案，解决企业运营难题。</w:t>
      </w:r>
    </w:p>
    <w:p>
      <w:pPr>
        <w:adjustRightInd w:val="0"/>
        <w:snapToGrid w:val="0"/>
        <w:spacing w:line="560" w:lineRule="exact"/>
        <w:ind w:firstLine="640" w:firstLineChars="200"/>
        <w:rPr>
          <w:rFonts w:ascii="仿宋_GB2312"/>
          <w:sz w:val="32"/>
          <w:szCs w:val="32"/>
        </w:rPr>
      </w:pPr>
    </w:p>
    <w:p>
      <w:pPr>
        <w:spacing w:line="560" w:lineRule="exact"/>
        <w:ind w:firstLine="643" w:firstLineChars="200"/>
        <w:rPr>
          <w:rFonts w:hint="eastAsia" w:ascii="仿宋_GB2312"/>
          <w:b/>
          <w:sz w:val="32"/>
          <w:szCs w:val="32"/>
        </w:rPr>
      </w:pPr>
      <w:r>
        <w:rPr>
          <w:rFonts w:hint="eastAsia" w:ascii="仿宋_GB2312"/>
          <w:b/>
          <w:sz w:val="32"/>
          <w:szCs w:val="32"/>
        </w:rPr>
        <w:t>（三）健全维护首都核心区安全工作机制，全力保障地区安全稳定。</w:t>
      </w:r>
    </w:p>
    <w:p>
      <w:pPr>
        <w:spacing w:line="560" w:lineRule="exact"/>
        <w:ind w:firstLine="640" w:firstLineChars="200"/>
        <w:rPr>
          <w:rFonts w:ascii="仿宋_GB2312"/>
          <w:b/>
          <w:sz w:val="32"/>
          <w:szCs w:val="32"/>
        </w:rPr>
      </w:pPr>
      <w:r>
        <w:rPr>
          <w:rFonts w:hint="eastAsia" w:ascii="仿宋_GB2312"/>
          <w:sz w:val="32"/>
          <w:szCs w:val="32"/>
        </w:rPr>
        <w:t>聚焦“六清”行动，巩固扫黑除恶专项斗争成果。</w:t>
      </w:r>
      <w:r>
        <w:rPr>
          <w:rFonts w:ascii="仿宋_GB2312"/>
          <w:sz w:val="32"/>
          <w:szCs w:val="32"/>
        </w:rPr>
        <w:t>强化立体化防控体系</w:t>
      </w:r>
      <w:r>
        <w:rPr>
          <w:rFonts w:hint="eastAsia" w:ascii="仿宋_GB2312"/>
          <w:sz w:val="32"/>
          <w:szCs w:val="32"/>
        </w:rPr>
        <w:t>，</w:t>
      </w:r>
      <w:r>
        <w:rPr>
          <w:rFonts w:ascii="仿宋_GB2312"/>
          <w:sz w:val="32"/>
          <w:szCs w:val="32"/>
        </w:rPr>
        <w:t>推进车公庄北里37、38号楼智慧小区建设，完成防疫卡口技防设施升级63处。</w:t>
      </w:r>
      <w:r>
        <w:rPr>
          <w:rFonts w:hint="eastAsia" w:ascii="仿宋_GB2312"/>
          <w:sz w:val="32"/>
          <w:szCs w:val="32"/>
        </w:rPr>
        <w:t>可防性案件发案1起，同期下降95%，有效提升群众安全感。强化社会面防控等级机制，织密反恐防暴网络，加强重点人员管理和安全监管力度，深化两级综治中心建设，发挥群防群治力量作用，守好全国“两会”等重点时期、重点区域、重要场所的安全底线。落实安全生产责任制，</w:t>
      </w:r>
      <w:r>
        <w:rPr>
          <w:rFonts w:ascii="仿宋_GB2312" w:hAnsi="仿宋_GB2312" w:cs="仿宋_GB2312"/>
          <w:sz w:val="32"/>
          <w:szCs w:val="32"/>
        </w:rPr>
        <w:t>加大重点行业检查力度</w:t>
      </w:r>
      <w:r>
        <w:rPr>
          <w:rFonts w:hint="eastAsia" w:ascii="仿宋_GB2312" w:hAnsi="仿宋_GB2312" w:cs="仿宋_GB2312"/>
          <w:sz w:val="32"/>
          <w:szCs w:val="32"/>
        </w:rPr>
        <w:t>，</w:t>
      </w:r>
      <w:r>
        <w:rPr>
          <w:rFonts w:ascii="仿宋_GB2312" w:hAnsi="仿宋_GB2312" w:cs="仿宋_GB2312"/>
          <w:sz w:val="32"/>
          <w:szCs w:val="32"/>
        </w:rPr>
        <w:t>检查生产经营单位10392家次，发现隐患17479项，现场整改12795项，下达责令整改通知书4684份，并按期完成复查，督促隐患整改。开展校园及周边安全防范工作</w:t>
      </w:r>
      <w:r>
        <w:rPr>
          <w:rFonts w:hint="eastAsia" w:ascii="仿宋_GB2312" w:hAnsi="仿宋_GB2312" w:cs="仿宋_GB2312"/>
          <w:sz w:val="32"/>
          <w:szCs w:val="32"/>
        </w:rPr>
        <w:t>，</w:t>
      </w:r>
      <w:r>
        <w:rPr>
          <w:rFonts w:ascii="仿宋_GB2312" w:hAnsi="仿宋_GB2312" w:cs="仿宋_GB2312"/>
          <w:sz w:val="32"/>
          <w:szCs w:val="32"/>
        </w:rPr>
        <w:t>走访调查地区</w:t>
      </w:r>
      <w:r>
        <w:rPr>
          <w:rFonts w:hint="eastAsia" w:ascii="仿宋_GB2312" w:hAnsi="仿宋_GB2312" w:cs="仿宋_GB2312"/>
          <w:sz w:val="32"/>
          <w:szCs w:val="32"/>
        </w:rPr>
        <w:t>全部</w:t>
      </w:r>
      <w:r>
        <w:rPr>
          <w:rFonts w:ascii="仿宋_GB2312" w:hAnsi="仿宋_GB2312" w:cs="仿宋_GB2312"/>
          <w:sz w:val="32"/>
          <w:szCs w:val="32"/>
        </w:rPr>
        <w:t>大中小学校及幼儿园的开学准备情况，研究部署上下学方案，确保学生安全复学。</w:t>
      </w:r>
    </w:p>
    <w:p>
      <w:pPr>
        <w:spacing w:line="560" w:lineRule="exact"/>
        <w:ind w:firstLine="643" w:firstLineChars="200"/>
        <w:rPr>
          <w:rFonts w:ascii="仿宋_GB2312"/>
          <w:b/>
          <w:sz w:val="32"/>
          <w:szCs w:val="32"/>
        </w:rPr>
      </w:pPr>
      <w:r>
        <w:rPr>
          <w:rFonts w:hint="eastAsia" w:ascii="仿宋_GB2312"/>
          <w:b/>
          <w:sz w:val="32"/>
          <w:szCs w:val="32"/>
        </w:rPr>
        <w:t>（四）全面推进政务公开工作</w:t>
      </w:r>
    </w:p>
    <w:p>
      <w:pPr>
        <w:spacing w:line="560" w:lineRule="exact"/>
        <w:ind w:firstLine="640" w:firstLineChars="200"/>
        <w:rPr>
          <w:rFonts w:ascii="仿宋_GB2312"/>
          <w:sz w:val="32"/>
          <w:szCs w:val="32"/>
        </w:rPr>
      </w:pPr>
      <w:r>
        <w:rPr>
          <w:rFonts w:hint="eastAsia" w:ascii="仿宋_GB2312"/>
          <w:sz w:val="32"/>
          <w:szCs w:val="32"/>
        </w:rPr>
        <w:t>展览路街道办事处始终将推进政务公开工作作为建设法治型、服务型、阳光型政府的一项重要内容，主动适应新常态，坚持以“公开为常态，不公开为例外”的原则，不断深化公开内容，规范公开程序，拓宽公开渠道，优化公开流程。2016年便成立了政务公开领导小组，根据机构改革方案，及时调整政务公开领导小组成员名单；结合2019年重新修订的《中华人民共和国政府信息公开条例》和街道办事处实际，进一步优化政务公开工作制度，完善主动公开、依申请公开、保密审查、等各项工作制度。 2020年，展览路街道街道通过北京西城官方网站、街道政务新媒体平台（微信公众号、社区通平台）主动公开信息700余条，内容涉及政策解读、疫情防控、城市建设、民生保障、文化建设等。梳理政务公开全清单159项内容。向公众汇报工作1次，组织政府开放日活动1次。公开行政处罚事项415项，行政处罚结果公示法人及其他组织100条，处罚自然人信息238条。共受理依申请公开3件，全部依法依规进行受理并按时答复，截止目前无因政府信息公开引起的行政诉讼败诉案件。</w:t>
      </w:r>
    </w:p>
    <w:p>
      <w:pPr>
        <w:pStyle w:val="8"/>
        <w:widowControl/>
        <w:numPr>
          <w:ilvl w:val="0"/>
          <w:numId w:val="1"/>
        </w:numPr>
        <w:spacing w:before="136" w:line="560" w:lineRule="exact"/>
        <w:ind w:left="0" w:firstLine="641" w:firstLineChars="0"/>
        <w:jc w:val="left"/>
        <w:rPr>
          <w:rFonts w:ascii="黑体" w:hAnsi="黑体" w:eastAsia="黑体" w:cs="宋体"/>
          <w:kern w:val="0"/>
          <w:sz w:val="32"/>
          <w:szCs w:val="32"/>
        </w:rPr>
      </w:pPr>
      <w:r>
        <w:rPr>
          <w:rFonts w:hint="eastAsia" w:ascii="黑体" w:hAnsi="黑体" w:eastAsia="黑体" w:cs="宋体"/>
          <w:kern w:val="0"/>
          <w:sz w:val="32"/>
          <w:szCs w:val="32"/>
        </w:rPr>
        <w:t>推进法治政府建设工作中存在的不足</w:t>
      </w:r>
    </w:p>
    <w:p>
      <w:pPr>
        <w:pStyle w:val="8"/>
        <w:widowControl/>
        <w:spacing w:before="136" w:line="560" w:lineRule="exact"/>
        <w:ind w:firstLine="640"/>
        <w:jc w:val="left"/>
        <w:rPr>
          <w:rFonts w:ascii="仿宋_GB2312" w:hAnsi="Times New Roman" w:eastAsia="仿宋_GB2312"/>
          <w:sz w:val="32"/>
          <w:szCs w:val="32"/>
        </w:rPr>
      </w:pPr>
      <w:r>
        <w:rPr>
          <w:rFonts w:hint="eastAsia" w:ascii="仿宋_GB2312" w:hAnsi="Times New Roman" w:eastAsia="仿宋_GB2312"/>
          <w:sz w:val="32"/>
          <w:szCs w:val="32"/>
        </w:rPr>
        <w:t>2020年展览路街道工委、办事处推进法治政府建设工作在区委、区政府的领导下，取得了一定的成绩，但仍然存在着一些不足之处。一是普法宣传方式有待创新。现阶段街道普法教育以邀请居民参加宣讲的形式居多，形式较为单一，下一步将积极利用新媒体的方式拓宽普法渠道。二是三大调解机制结合化解矛盾的意识较为薄弱。现阶段矛盾纠纷化解多元化格局仅仅构建起框架，还需进一步完善三大调解机制从而整合和解、调解、仲裁等多种非诉讼化解资源，满足人民群众对多元化解纠纷的需求。三是依法办事能力仍需提高。街道办事处承接行政执法权并实行综合执法后，街道各部门工作人员认识到面临的新形势和新任务，要在更高的层面上谋划和推动工作开展。加强培训的针对性、实效性，在师资力量、保障机制上进一步改善和健全，用更宽的视野去规划工作人员的教育培训工作，着力加速提升工作人员的整体素质，打造一支业务精通的法治工作队伍。</w:t>
      </w:r>
    </w:p>
    <w:p>
      <w:pPr>
        <w:pStyle w:val="8"/>
        <w:widowControl/>
        <w:numPr>
          <w:ilvl w:val="0"/>
          <w:numId w:val="1"/>
        </w:numPr>
        <w:spacing w:before="136" w:line="560" w:lineRule="exact"/>
        <w:ind w:left="0" w:firstLine="641" w:firstLineChars="0"/>
        <w:jc w:val="left"/>
        <w:rPr>
          <w:rFonts w:ascii="黑体" w:hAnsi="黑体" w:eastAsia="黑体" w:cs="宋体"/>
          <w:kern w:val="0"/>
          <w:sz w:val="32"/>
          <w:szCs w:val="32"/>
        </w:rPr>
      </w:pPr>
      <w:r>
        <w:rPr>
          <w:rFonts w:hint="eastAsia" w:ascii="黑体" w:hAnsi="黑体" w:eastAsia="黑体" w:cs="宋体"/>
          <w:kern w:val="0"/>
          <w:sz w:val="32"/>
          <w:szCs w:val="32"/>
        </w:rPr>
        <w:t>主要领导履行法治政府建设工作情况</w:t>
      </w:r>
    </w:p>
    <w:p>
      <w:pPr>
        <w:spacing w:line="560" w:lineRule="exact"/>
        <w:ind w:firstLine="640" w:firstLineChars="200"/>
        <w:jc w:val="left"/>
        <w:rPr>
          <w:rFonts w:hint="eastAsia" w:ascii="仿宋_GB2312" w:hAnsi="ˎ̥" w:cs="宋体"/>
          <w:kern w:val="0"/>
          <w:sz w:val="32"/>
          <w:szCs w:val="32"/>
        </w:rPr>
      </w:pPr>
      <w:r>
        <w:rPr>
          <w:rFonts w:hint="eastAsia" w:ascii="仿宋_GB2312" w:hAnsi="ˎ̥" w:cs="宋体"/>
          <w:kern w:val="0"/>
          <w:sz w:val="32"/>
          <w:szCs w:val="32"/>
        </w:rPr>
        <w:t>落实党政主要负责人履行推进法治建设第一责任人职责。街道党政主要领导，任街道依法行政工作领导小组组长，把深入学习习近平新时代中国特色社会主义思想作为重中之重。结合办事处工作实际，带领街道领导干部深刻领会坚持全面依法治国，建设社会主义法治国家，切实保障社会公平正义和人民权利的显著优势。</w:t>
      </w:r>
    </w:p>
    <w:p>
      <w:pPr>
        <w:spacing w:line="560" w:lineRule="exact"/>
        <w:ind w:firstLine="640" w:firstLineChars="200"/>
        <w:jc w:val="left"/>
        <w:rPr>
          <w:rFonts w:hint="eastAsia" w:ascii="仿宋_GB2312" w:hAnsi="ˎ̥" w:cs="宋体"/>
          <w:kern w:val="0"/>
          <w:sz w:val="32"/>
          <w:szCs w:val="32"/>
        </w:rPr>
      </w:pPr>
      <w:r>
        <w:rPr>
          <w:rFonts w:hint="eastAsia" w:ascii="仿宋_GB2312" w:hAnsi="ˎ̥" w:cs="宋体"/>
          <w:kern w:val="0"/>
          <w:sz w:val="32"/>
          <w:szCs w:val="32"/>
        </w:rPr>
        <w:t>在街道党政主要领导的带领下下，街道审议制订或修订内控制度10余项;积极主动开展主任办公会会前学法，对《民法典》中于街道工作密切相关的内容进行了系统学习;按照区政府对于街道依法行政工作开展的相关要求，经街道第经9次主任办公会审议通过，2020年街道聘请法律服务律师事务所为街道提供法律咨询、合同审查、诉讼代理等服务。街道所有重大事项决定的作出均严格按照相关要求提请主任办公会及工委会审议。</w:t>
      </w:r>
    </w:p>
    <w:p>
      <w:pPr>
        <w:pStyle w:val="8"/>
        <w:widowControl/>
        <w:numPr>
          <w:ilvl w:val="0"/>
          <w:numId w:val="1"/>
        </w:numPr>
        <w:spacing w:before="136" w:line="560" w:lineRule="exact"/>
        <w:ind w:left="0" w:firstLine="640" w:firstLineChars="0"/>
        <w:jc w:val="left"/>
        <w:rPr>
          <w:rFonts w:ascii="黑体" w:hAnsi="黑体" w:eastAsia="黑体" w:cs="宋体"/>
          <w:kern w:val="0"/>
          <w:sz w:val="32"/>
          <w:szCs w:val="32"/>
        </w:rPr>
      </w:pPr>
      <w:r>
        <w:rPr>
          <w:rFonts w:hint="eastAsia" w:ascii="黑体" w:hAnsi="黑体" w:eastAsia="黑体" w:cs="宋体"/>
          <w:kern w:val="0"/>
          <w:sz w:val="32"/>
          <w:szCs w:val="32"/>
        </w:rPr>
        <w:t>下一步工作计划</w:t>
      </w:r>
    </w:p>
    <w:p>
      <w:pPr>
        <w:spacing w:line="560" w:lineRule="exact"/>
        <w:ind w:firstLine="640" w:firstLineChars="200"/>
        <w:rPr>
          <w:rFonts w:hint="eastAsia" w:ascii="仿宋_GB2312" w:hAnsi="ˎ̥" w:cs="宋体"/>
          <w:kern w:val="0"/>
          <w:sz w:val="32"/>
          <w:szCs w:val="32"/>
        </w:rPr>
      </w:pPr>
      <w:r>
        <w:rPr>
          <w:rFonts w:hint="eastAsia" w:ascii="仿宋_GB2312" w:hAnsi="ˎ̥" w:cs="宋体"/>
          <w:kern w:val="0"/>
          <w:sz w:val="32"/>
          <w:szCs w:val="32"/>
        </w:rPr>
        <w:t>2020年，展览路街办事处将继续按照北京市、西城区的部署，围绕中心工作，深入推进依法行政，加快建设法治政府，重点做好以下工作：</w:t>
      </w:r>
    </w:p>
    <w:p>
      <w:pPr>
        <w:spacing w:line="560" w:lineRule="exact"/>
        <w:ind w:firstLine="200"/>
        <w:rPr>
          <w:rFonts w:hint="eastAsia" w:ascii="仿宋_GB2312" w:hAnsi="ˎ̥" w:cs="宋体"/>
          <w:kern w:val="0"/>
          <w:sz w:val="32"/>
          <w:szCs w:val="32"/>
        </w:rPr>
      </w:pPr>
      <w:r>
        <w:rPr>
          <w:rFonts w:hint="eastAsia" w:ascii="仿宋_GB2312" w:hAnsi="ˎ̥" w:cs="宋体"/>
          <w:kern w:val="0"/>
          <w:sz w:val="32"/>
          <w:szCs w:val="32"/>
        </w:rPr>
        <w:t>　</w:t>
      </w:r>
      <w:r>
        <w:rPr>
          <w:rFonts w:hint="eastAsia" w:ascii="仿宋_GB2312" w:hAnsi="ˎ̥" w:cs="宋体"/>
          <w:b/>
          <w:kern w:val="0"/>
          <w:sz w:val="32"/>
          <w:szCs w:val="32"/>
        </w:rPr>
        <w:t xml:space="preserve"> 一是统筹推进法治政府建设。</w:t>
      </w:r>
      <w:r>
        <w:rPr>
          <w:rFonts w:hint="eastAsia" w:ascii="仿宋_GB2312" w:hAnsi="ˎ̥" w:cs="宋体"/>
          <w:kern w:val="0"/>
          <w:sz w:val="32"/>
          <w:szCs w:val="32"/>
        </w:rPr>
        <w:t>坚持把党的领导贯穿于法治政府建设全过程，深入贯彻落实西城区关于依法行政部署要求，持续开展法治政府创建工作。同时以满足人民对法治日益增长的需要为出发点和落脚点,针对依法行政和法治政府建设的重点和难点,采取有针对性的措施,切实把依法行政的理念和基本要求内在地融入到行政工作之中,寻求法治政府建设的新突破。</w:t>
      </w:r>
    </w:p>
    <w:p>
      <w:pPr>
        <w:spacing w:line="560" w:lineRule="exact"/>
        <w:ind w:firstLine="643" w:firstLineChars="200"/>
        <w:rPr>
          <w:rFonts w:hint="eastAsia" w:ascii="仿宋_GB2312" w:hAnsi="ˎ̥" w:cs="宋体"/>
          <w:kern w:val="0"/>
          <w:sz w:val="32"/>
          <w:szCs w:val="32"/>
        </w:rPr>
      </w:pPr>
      <w:r>
        <w:rPr>
          <w:rFonts w:hint="eastAsia" w:ascii="仿宋_GB2312" w:hAnsi="ˎ̥" w:cs="宋体"/>
          <w:b/>
          <w:kern w:val="0"/>
          <w:sz w:val="32"/>
          <w:szCs w:val="32"/>
        </w:rPr>
        <w:t>二是进一步完善依法行政制度体系</w:t>
      </w:r>
      <w:r>
        <w:rPr>
          <w:rFonts w:hint="eastAsia" w:ascii="仿宋_GB2312" w:hAnsi="ˎ̥" w:cs="宋体"/>
          <w:kern w:val="0"/>
          <w:sz w:val="32"/>
          <w:szCs w:val="32"/>
        </w:rPr>
        <w:t>。提早研究2021年法制政府建设工作计划及标准，紧扣城市转型发展需要，围绕街道中心工作建立配套规章制度。始终把完善依法行政制度体系作为依法行政的基础工作抓常抓细，严格规范性文件法制审核，严格规范性文件管理，有力推动各项工作在法治轨道上运行。 </w:t>
      </w:r>
    </w:p>
    <w:p>
      <w:pPr>
        <w:spacing w:line="560" w:lineRule="exact"/>
        <w:ind w:firstLine="643" w:firstLineChars="200"/>
        <w:rPr>
          <w:rFonts w:hint="eastAsia" w:ascii="仿宋_GB2312" w:hAnsi="ˎ̥" w:cs="宋体"/>
          <w:kern w:val="0"/>
          <w:sz w:val="32"/>
          <w:szCs w:val="32"/>
        </w:rPr>
      </w:pPr>
      <w:r>
        <w:rPr>
          <w:rFonts w:hint="eastAsia" w:ascii="仿宋_GB2312" w:hAnsi="ˎ̥" w:cs="宋体"/>
          <w:b/>
          <w:kern w:val="0"/>
          <w:sz w:val="32"/>
          <w:szCs w:val="32"/>
        </w:rPr>
        <w:t>三是着力提高执法队伍建设。</w:t>
      </w:r>
      <w:r>
        <w:rPr>
          <w:rFonts w:hint="eastAsia" w:ascii="仿宋_GB2312" w:hAnsi="ˎ̥" w:cs="宋体"/>
          <w:kern w:val="0"/>
          <w:sz w:val="32"/>
          <w:szCs w:val="32"/>
        </w:rPr>
        <w:t>严格规范街道综合行政执法人员执法流程，将《行政执法三项制度》落地落实，通过培训讲座等方式提高执法人员将执法工作相关法律法规内化于心，外化于行。着力提升执法履职能力，努力建设政治坚定、作风优良、纪律严明、廉洁务实的执法队伍，为提高辖区城市管理精细化水平提供组织保障和人才支撑。</w:t>
      </w:r>
    </w:p>
    <w:p>
      <w:pPr>
        <w:tabs>
          <w:tab w:val="left" w:pos="8164"/>
        </w:tabs>
        <w:spacing w:line="560" w:lineRule="exact"/>
        <w:ind w:firstLine="672" w:firstLineChars="210"/>
        <w:rPr>
          <w:rFonts w:ascii="仿宋_GB2312" w:hAnsi="仿宋_GB2312" w:cs="仿宋_GB2312"/>
          <w:sz w:val="32"/>
          <w:szCs w:val="32"/>
        </w:rPr>
      </w:pPr>
      <w:r>
        <w:rPr>
          <w:rFonts w:hint="eastAsia" w:ascii="仿宋_GB2312" w:hAnsi="仿宋_GB2312" w:cs="仿宋_GB2312"/>
          <w:sz w:val="32"/>
          <w:szCs w:val="32"/>
        </w:rPr>
        <w:t>特此报告。</w:t>
      </w:r>
    </w:p>
    <w:p>
      <w:pPr>
        <w:tabs>
          <w:tab w:val="left" w:pos="8164"/>
        </w:tabs>
        <w:spacing w:line="560" w:lineRule="exact"/>
        <w:ind w:firstLine="200"/>
        <w:rPr>
          <w:rFonts w:ascii="仿宋_GB2312" w:hAnsi="仿宋_GB2312" w:cs="仿宋_GB2312"/>
          <w:sz w:val="32"/>
          <w:szCs w:val="32"/>
        </w:rPr>
      </w:pPr>
    </w:p>
    <w:p>
      <w:pPr>
        <w:tabs>
          <w:tab w:val="left" w:pos="8164"/>
        </w:tabs>
        <w:spacing w:line="560" w:lineRule="exact"/>
        <w:rPr>
          <w:rFonts w:ascii="仿宋_GB2312" w:hAnsi="仿宋_GB2312" w:cs="仿宋_GB2312"/>
          <w:sz w:val="32"/>
          <w:szCs w:val="32"/>
        </w:rPr>
      </w:pPr>
    </w:p>
    <w:p>
      <w:pPr>
        <w:spacing w:line="560" w:lineRule="exact"/>
        <w:ind w:left="1680" w:firstLine="200"/>
        <w:jc w:val="center"/>
        <w:rPr>
          <w:rFonts w:ascii="宋体" w:hAnsi="宋体" w:eastAsia="宋体" w:cs="宋体"/>
          <w:sz w:val="24"/>
        </w:rPr>
      </w:pPr>
      <w:r>
        <w:rPr>
          <w:rFonts w:hint="eastAsia" w:ascii="仿宋_GB2312" w:hAnsi="宋体" w:cs="宋体"/>
          <w:sz w:val="32"/>
          <w:szCs w:val="32"/>
        </w:rPr>
        <w:t>北京市西城区人民政府展览路街道办事处</w:t>
      </w:r>
    </w:p>
    <w:p>
      <w:pPr>
        <w:tabs>
          <w:tab w:val="left" w:pos="8164"/>
        </w:tabs>
        <w:spacing w:line="560" w:lineRule="exact"/>
        <w:ind w:firstLine="200"/>
        <w:rPr>
          <w:rFonts w:ascii="仿宋_GB2312" w:hAnsi="宋体" w:cs="宋体"/>
          <w:sz w:val="32"/>
          <w:szCs w:val="32"/>
        </w:rPr>
      </w:pPr>
      <w:r>
        <w:rPr>
          <w:rFonts w:hint="eastAsia" w:ascii="仿宋_GB2312" w:hAnsi="宋体" w:cs="宋体"/>
          <w:sz w:val="32"/>
          <w:szCs w:val="32"/>
        </w:rPr>
        <w:t xml:space="preserve">                     2020年</w:t>
      </w:r>
      <w:r>
        <w:rPr>
          <w:rFonts w:ascii="仿宋_GB2312" w:hAnsi="宋体" w:cs="宋体"/>
          <w:sz w:val="32"/>
          <w:szCs w:val="32"/>
        </w:rPr>
        <w:t>12</w:t>
      </w:r>
      <w:r>
        <w:rPr>
          <w:rFonts w:hint="eastAsia" w:ascii="仿宋_GB2312" w:hAnsi="宋体" w:cs="宋体"/>
          <w:sz w:val="32"/>
          <w:szCs w:val="32"/>
        </w:rPr>
        <w:t>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5C19"/>
    <w:multiLevelType w:val="multilevel"/>
    <w:tmpl w:val="631F5C19"/>
    <w:lvl w:ilvl="0" w:tentative="0">
      <w:start w:val="1"/>
      <w:numFmt w:val="chineseCountingThousand"/>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B9"/>
    <w:rsid w:val="000037F4"/>
    <w:rsid w:val="000C7FEC"/>
    <w:rsid w:val="000E2567"/>
    <w:rsid w:val="001545B9"/>
    <w:rsid w:val="00196547"/>
    <w:rsid w:val="001E2998"/>
    <w:rsid w:val="001E3A44"/>
    <w:rsid w:val="00213F75"/>
    <w:rsid w:val="00274055"/>
    <w:rsid w:val="0028730E"/>
    <w:rsid w:val="00305420"/>
    <w:rsid w:val="00393D98"/>
    <w:rsid w:val="00467CD1"/>
    <w:rsid w:val="00541FA1"/>
    <w:rsid w:val="005646D9"/>
    <w:rsid w:val="005F4652"/>
    <w:rsid w:val="00632751"/>
    <w:rsid w:val="00643D38"/>
    <w:rsid w:val="006555DC"/>
    <w:rsid w:val="00686817"/>
    <w:rsid w:val="00702E5F"/>
    <w:rsid w:val="007429BC"/>
    <w:rsid w:val="0074758B"/>
    <w:rsid w:val="0077081C"/>
    <w:rsid w:val="007D2202"/>
    <w:rsid w:val="007D7664"/>
    <w:rsid w:val="007F2534"/>
    <w:rsid w:val="008106BF"/>
    <w:rsid w:val="008312DC"/>
    <w:rsid w:val="008812B0"/>
    <w:rsid w:val="009733B1"/>
    <w:rsid w:val="00AB575C"/>
    <w:rsid w:val="00BF21FE"/>
    <w:rsid w:val="00C0180C"/>
    <w:rsid w:val="00C5778B"/>
    <w:rsid w:val="00C6274C"/>
    <w:rsid w:val="00CC3B33"/>
    <w:rsid w:val="00D00413"/>
    <w:rsid w:val="00DB58D4"/>
    <w:rsid w:val="00E27DD0"/>
    <w:rsid w:val="00EF6ABD"/>
    <w:rsid w:val="00FA0173"/>
    <w:rsid w:val="348D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485</Words>
  <Characters>2765</Characters>
  <Lines>23</Lines>
  <Paragraphs>6</Paragraphs>
  <TotalTime>9</TotalTime>
  <ScaleCrop>false</ScaleCrop>
  <LinksUpToDate>false</LinksUpToDate>
  <CharactersWithSpaces>3244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2020-12-14T08:29:00Z</dcterms:created>
  <dc:creator>Administrator</dc:creator>
  <cp:lastModifiedBy>admin</cp:lastModifiedBy>
  <dcterms:modified xsi:type="dcterms:W3CDTF">2020-12-15T08:37:00Z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