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北京市西城区广安门内街道办事处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年政府信息公开工作年度报告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《中华人民共和国政府信息公开条例》（以下简称条例）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第五十条之规定，制作本报告。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文包括总体情况、主动公开政府信息情况、收到和处理政府信息公开申请情况、政府信息公开行政复议和行政诉讼情况、存在的主要问题及改进情况、其他需要报告的事项。区政府网站（http://www.bjxch.gov.cn）政府信息公开专栏上可下载本报告的电子版。如对本报告有任何疑问，请联系：北京市西城区广安门内街道办事处，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010-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8317276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。电子邮箱：gnjdbsc-xxgk@bjxch.gov.cn。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after="105" w:afterAutospacing="0" w:line="23" w:lineRule="atLeast"/>
        <w:ind w:right="0" w:rightChars="0" w:firstLine="640" w:firstLineChars="200"/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总体情况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after="105" w:afterAutospacing="0" w:line="23" w:lineRule="atLeast"/>
        <w:ind w:lef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主动公开工作情况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2020年，我街道坚决贯彻落实《中华人民共和国政府信息公开条例》、西城区《2020年政务公开工作要点》，按照“主动服务、便民快捷”的工作目标，积极推进政府信息主动公开工作。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instrText xml:space="preserve"> HYPERLINK "http://www.beijing.gov.cn/zfxxgk/xcq11B065/zfxxgkbz/2019-07/19/content_f8a2e422d7204a9cafececf4e26ea410.shtml" \o "西城区广内街道政府信息主动公开全清单" \t "http://www.beijing.gov.cn/zfxxgk/xcq11B065/zfxxgkbz/_blank"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政府信息主动公开全清单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了更好的完成主动公开的信息工作,使政务公开工作顺利开展,按照三定职责制定广内街道政务公开目录清单。所公开的信息涉及街道基本信息、街道法定职责、街道内设机构信息、街道领导简历、重点领域信息公开、为民办实事计划及完成情况、街道信息公开指南、街道年度工作总结、街道年度工作计划等70个条目。随着工作事项变化及时更新清单，形成动态长效管理机制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2.条例要求公开的相关信息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2020年我街道条例要求公开的相关信息如下：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制作发布规章0件，规范性文件0件；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无行政事业性收费项目，未发生行政事业性收费；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无行政许可、行政确认、行政检查事项；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行政处罚项目400项，2020年增加400项，2020年决定数量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552项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行政强制项目20项，2020年增加20项，2020年决定数量0项；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定期对重点领域相关查处违法建设、小广告专项整治、渣土车专项整治、露天烧烤专项整治、无照经营专项整治等方面进行公示，全年共发布相关信息108条。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公布2019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"http://www.beijing.gov.cn/zfxxgk/xcq11B065/czyjs33/2019-08/30/content_3ac3e7ff32f34fa3b4dcfd91a504b634.shtml" \o "广内街道办事处2018部门决算及\“三公\”经费公开-汇总" \t "http://www.beijing.gov.cn/zfxxgk/xcq11B065/ghjh/_blank" </w:instrTex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广内街道办事处部门决算及“三公”经费公开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instrText xml:space="preserve"> HYPERLINK "http://www.beijing.gov.cn/zfxxgk/xcq11B065/jh32/2019-02/18/content_e32a0771da20400ea6a5a2df18a4d124.shtml" \o "广内街道办事处2019年预算信息公开材料" \t "http://www.beijing.gov.cn/zfxxgk/xcq11B065/ghjh/_blank" </w:instrTex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>广内街道办事处2020年预算信息公开材料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>共2条；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政府集中采购项目66项，采购金额421.9326万元；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扶贫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方面办事指南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社会保障、促进就业等方面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环境保护信息31条，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安全生产信息51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条，食品药品信息100条；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突发公共事件、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公共卫生领域、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公共资源配置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重大建设项目批准和实施、政策解读回应等领域无此类信息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（二）依申请公开办理情况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共受理并答复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申请人均为自然人；无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上一年度转入的政府信息公开申请，本年办理结案9件，结转下年度继续办理1件。申请内容比较广泛，其中涉及搭建违建事项较多。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从办理结果看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公开2例，不予公开3例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，无法提供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4例，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待办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1件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1.申请情况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受理的依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中，其申请的方式有：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当面申请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件,占总数的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%;以传真形式申请0件,占总数的0%;通过网络提交申请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件,占总数的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%;以信函形式申请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件,占总数的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2.答复情况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已答复的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项申请中:“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项,占总数的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“不予公开”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3项，占总数的33%，三项均属于“行政执法案卷”；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“无法提供”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项,占总数的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%，四项均属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于“本机关不掌握相关政府信息”。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3.依申请公开政府信息收费情况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依申请提供政府信息共收取检索、复印、邮递等成本费用共计0元。广内街道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对政府信息公开申请人减免收取检索、复印、邮递等成本费用共计0元。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（三）政府信息资源的规范化、标准化管理情况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街道成立以街道办事处主任为组长的街道信息公开领导小组,领导小组下设信息公开办公室,作为常设办事机构,配备1名工作人员。不断完善政府信息公开工作的各项制度,如公文属性源头管理制度、信息公开保密审查制度、微信公众号管理制度等,规范信息公开流程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（四）政府信息公开平台建设情况              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我街道设立1个专门的信息公开申请受理点,开辟公共查阅点2处，分别为街道公共服务大厅、街道公共图书馆，上架政府公报、办事指南等资料提供居民查阅。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default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公开专栏作为街道政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务公开工作重要阵地，做好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专栏设置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和信息整合，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开通社会救助、服务事项与指南、通知公告、业务动态等二级栏目，由专人负责维护，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内容进行动态管理,做到有变动即刻调整,确保公开链接准确、实效、适时、便民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，2020年全年更新信息563条。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开通微信公众号“掌上广内”和政务微博“西城广安门内”，开通互动、咨询功能。2020年，微信公众号累计粉丝4800余人，推送文章612篇，获居民点赞、留言10000余条；微博累计发布各类信息、回复居民提问共1200余条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《广内之声》报刊作为群众了解政府运行的有力平台,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2020年共印发48期49万余份,面向基层社区、居民、辖区内商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业楼宇、离退休干部等免费发放。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政府信息公开监督保障及教育培训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我街道政府信息公开工作，严格遵守各项条例规定，履行各项相关职责，自觉接受社会监督，自觉配合区政务工作考核组的考评，2020年政务工作无扣分项，无针对街道政府信息公开的举报投诉。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街道积极参加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区政府信息公开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培训等业务提升工作,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积极参加区政府组织的有关政府信息公开工作，组织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街道干部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参与条例宣讲活动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人参与培训,有效提高了公共服务水平。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政府信息公开经费投入情况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政府信息公开工作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经费投入无法与其他一般性工作经费投入进行单独区分。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二、主动公开政府信息情况</w:t>
      </w:r>
    </w:p>
    <w:tbl>
      <w:tblPr>
        <w:tblStyle w:val="6"/>
        <w:tblW w:w="88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1128"/>
        <w:gridCol w:w="1930"/>
        <w:gridCol w:w="1802"/>
        <w:gridCol w:w="18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规章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+400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+20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采购总金额（万元，保留四位小数）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421.9326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left="420" w:leftChars="0" w:right="0" w:righ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left="420" w:leftChars="0" w:right="0" w:rightChars="0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755"/>
        <w:gridCol w:w="2047"/>
        <w:gridCol w:w="746"/>
        <w:gridCol w:w="746"/>
        <w:gridCol w:w="746"/>
        <w:gridCol w:w="860"/>
        <w:gridCol w:w="922"/>
        <w:gridCol w:w="747"/>
        <w:gridCol w:w="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4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/>
        <w:rPr>
          <w:rFonts w:hint="eastAsia" w:ascii="黑体" w:hAnsi="宋体" w:eastAsia="黑体" w:cs="黑体"/>
          <w:color w:val="0000FF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 w:firstLine="640" w:firstLineChars="200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四、政府信息公开行政复议和行政诉讼情况</w:t>
      </w:r>
    </w:p>
    <w:tbl>
      <w:tblPr>
        <w:tblStyle w:val="6"/>
        <w:tblpPr w:leftFromText="180" w:rightFromText="180" w:vertAnchor="text" w:horzAnchor="page" w:tblpX="1446" w:tblpY="259"/>
        <w:tblOverlap w:val="never"/>
        <w:tblW w:w="96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/>
        <w:rPr>
          <w:rFonts w:hint="eastAsia" w:ascii="黑体" w:hAnsi="宋体" w:eastAsia="黑体" w:cs="黑体"/>
          <w:color w:val="0000FF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 w:firstLine="640" w:firstLineChars="200"/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（一）存在的主要问题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一是对政务信息公开的渠道有待进一步的拓宽；二是对信息公开条例及有关规定的学习力度有待加强；三是对政府信息公开的程序进一步的精细化。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after="105" w:afterAutospacing="0" w:line="23" w:lineRule="atLeast"/>
        <w:ind w:left="0" w:firstLine="4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下一步改进措施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 w:firstLine="620" w:firstLineChars="200"/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是以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公众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需求为导向，不断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拓宽和完善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政府信息公开渠道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，加大政府信息公开的力度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对公众关注度较高的文件及材料，不仅要积极主动公开，还要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不断创新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信息公开的形式。努力探索政府信息公开的新途径，以公众喜闻乐见的沟通表达形式，提供政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府信息。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 w:firstLine="620" w:firstLineChars="200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二是加强信息公开培训力度，尤其是对政务信息公开条例及相关规定的学习，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做好政务公开工作队伍的培训教育全覆盖，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提高工作人员的信息公开意识，提升信息公开工作人员的业务能力，确保政府信息公开工作能按照规定的流程高效运作，提高公众对政府信息公开工作的满意度。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 w:firstLine="620" w:firstLineChars="200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三是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坚决贯彻落实《条例》的要求，进一步规范信息公开工作程序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。尤其在组织开展对拟公开政府信息的审查时，严格按照审批程序，信息公开工作人员严格把关，与各部门统筹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协调。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 w:firstLine="640" w:firstLineChars="200"/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会议开放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2020年8月21日，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组织会议开放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街道办事处主任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主持召开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第十七次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主任办公会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邀请地区居民代表参会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，通报关于《北京市垃圾分类条例》、《北京市物业管理条例》的落实情况，以及各相关办公室负责人关于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物业管理委员会组建情况、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核桃园社区服务站综合设置改革装饰展示项目、关于购买广内街道核酸检测公共信息管理服务、关于为参加核酸集中检测工作的社区工作者发放一次性慰问补助、关于空竹协会和空竹文化艺术团变更法人情况、关于2020年广内街道促就业社会保险补贴及奖励实施办法(试行）进行了汇报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政府开放日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9月21日，街道办事处主任陪同各社区代表参观广内街区体验馆，为他们介绍街道街区整理工作的展示情况以及特色阅读、城市沙龙、共享空间等功能。随后，还参观了核桃园党群服务中心，为各位社区代表们介绍街道专门为老人们精心设计服务内容，同时对红墙同心工作坊、街道“老兵之家”进行走访学习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（三）政府向公众报告会议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月11日，广内街道召开政府向公众报告会议暨第十八次社区代表大会。区委常委、区街领导、地区人大代表和政协委员、社区居民代表以及“12345”市民热线观察员等200余人参会。街道办事处主任与其它各职能部门主管领导组成一个团队，以讲述的方式对广内街道2019年工作进行总结。会上，为聘请12345市民热线观察员颁发了聘书。最后，相关办公室负责人向大会汇报了2019年度社区代表大会征求意见和建议办理情况，及2020年度社区代表大会意见新征集的情况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广内街道召开政府向公众报告会议暨第十九次社区代表大会。区街领导、地区人大代表、政协委员、街道各部门、科站队所负责同志、18个社区党委书记以及居民代表近200人参加大会。街道办事处主任向与会人员汇报广内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2020年工作开展情况，通报第十八次社区代表大会意见建议的办理情况，通过第十九次社区代表大会意见建议，以及各职能部门汇报所负责工作。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人大建议和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政协提案办理结果情况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高度重视人大代表建议和政协委员提案办理工作，今年我街道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会办区人大代表建议1件，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会办政协委员提案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件，我街道已配合主办单位开展工作并提供书面会办意见,具体答复情况和公开属性由主办单位负责。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（五）深化疫情防控信息公开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加强疫情防控信息发布，通过微信公众号“掌上广内”、西城家园“社区通”、微博“西城广安门内”等媒体平台发布各类政策信息14180条，累计阅读量135000余次，张贴防疫宣传海报近30000张。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本报告所列数据的统计期限,自2020年1月1日起至2020年12月31日止。如需了解更多政府信息，请登录西城区人民政府网站查询，网址为http://www.bjxch.gov.cn/。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2DBA1"/>
    <w:multiLevelType w:val="singleLevel"/>
    <w:tmpl w:val="E682DB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1D44414"/>
    <w:multiLevelType w:val="singleLevel"/>
    <w:tmpl w:val="11D444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7D0CB6"/>
    <w:multiLevelType w:val="singleLevel"/>
    <w:tmpl w:val="687D0C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402A"/>
    <w:rsid w:val="00194C41"/>
    <w:rsid w:val="019079DF"/>
    <w:rsid w:val="01E40F4E"/>
    <w:rsid w:val="0256067C"/>
    <w:rsid w:val="02731FEA"/>
    <w:rsid w:val="03466D94"/>
    <w:rsid w:val="036716B3"/>
    <w:rsid w:val="039C7C25"/>
    <w:rsid w:val="03A30C78"/>
    <w:rsid w:val="03E17CD5"/>
    <w:rsid w:val="0421032B"/>
    <w:rsid w:val="04CC0A07"/>
    <w:rsid w:val="04D73E87"/>
    <w:rsid w:val="050C6530"/>
    <w:rsid w:val="055771D1"/>
    <w:rsid w:val="05635305"/>
    <w:rsid w:val="05EE030C"/>
    <w:rsid w:val="06787937"/>
    <w:rsid w:val="07DD7F49"/>
    <w:rsid w:val="08FF2BA3"/>
    <w:rsid w:val="090841F0"/>
    <w:rsid w:val="09701D1D"/>
    <w:rsid w:val="09CB5BBB"/>
    <w:rsid w:val="0B5043FC"/>
    <w:rsid w:val="0CDC0E9A"/>
    <w:rsid w:val="0DD95091"/>
    <w:rsid w:val="0EA509EF"/>
    <w:rsid w:val="0EB77716"/>
    <w:rsid w:val="0FC31C6E"/>
    <w:rsid w:val="0FEE5176"/>
    <w:rsid w:val="10D0687B"/>
    <w:rsid w:val="10EA04F5"/>
    <w:rsid w:val="10F8060C"/>
    <w:rsid w:val="11826F1F"/>
    <w:rsid w:val="124C2413"/>
    <w:rsid w:val="133877EE"/>
    <w:rsid w:val="133A50FE"/>
    <w:rsid w:val="1355443B"/>
    <w:rsid w:val="15B51EC3"/>
    <w:rsid w:val="15EA598E"/>
    <w:rsid w:val="160D255A"/>
    <w:rsid w:val="16251877"/>
    <w:rsid w:val="1667379F"/>
    <w:rsid w:val="1722584C"/>
    <w:rsid w:val="176C1185"/>
    <w:rsid w:val="178D41B2"/>
    <w:rsid w:val="1890759A"/>
    <w:rsid w:val="18A8012E"/>
    <w:rsid w:val="19DA0284"/>
    <w:rsid w:val="1A150108"/>
    <w:rsid w:val="1A16799A"/>
    <w:rsid w:val="1A763DCD"/>
    <w:rsid w:val="1AC8317B"/>
    <w:rsid w:val="1AE91F11"/>
    <w:rsid w:val="1B2C443E"/>
    <w:rsid w:val="1B571187"/>
    <w:rsid w:val="1C626CA7"/>
    <w:rsid w:val="1CC250FC"/>
    <w:rsid w:val="1D6C3E27"/>
    <w:rsid w:val="1DCA014C"/>
    <w:rsid w:val="1E97327E"/>
    <w:rsid w:val="1E99064E"/>
    <w:rsid w:val="1EFA0506"/>
    <w:rsid w:val="204E4555"/>
    <w:rsid w:val="211A2753"/>
    <w:rsid w:val="21933FEE"/>
    <w:rsid w:val="21FD3447"/>
    <w:rsid w:val="226E0E46"/>
    <w:rsid w:val="228842F3"/>
    <w:rsid w:val="22BA4D88"/>
    <w:rsid w:val="22F80846"/>
    <w:rsid w:val="231D5845"/>
    <w:rsid w:val="2393471C"/>
    <w:rsid w:val="23DB7A83"/>
    <w:rsid w:val="24717738"/>
    <w:rsid w:val="24E659FD"/>
    <w:rsid w:val="251D0E0C"/>
    <w:rsid w:val="254E2768"/>
    <w:rsid w:val="256164BE"/>
    <w:rsid w:val="25BE6475"/>
    <w:rsid w:val="267D246A"/>
    <w:rsid w:val="26C27F53"/>
    <w:rsid w:val="26D06B19"/>
    <w:rsid w:val="26EE13C3"/>
    <w:rsid w:val="2745165F"/>
    <w:rsid w:val="278413ED"/>
    <w:rsid w:val="278C3511"/>
    <w:rsid w:val="27E50331"/>
    <w:rsid w:val="28396EED"/>
    <w:rsid w:val="28F248FF"/>
    <w:rsid w:val="28FF13DB"/>
    <w:rsid w:val="294658D3"/>
    <w:rsid w:val="29804D56"/>
    <w:rsid w:val="29D910AF"/>
    <w:rsid w:val="29E30F56"/>
    <w:rsid w:val="29F7579A"/>
    <w:rsid w:val="2A024FCC"/>
    <w:rsid w:val="2A160B47"/>
    <w:rsid w:val="2A905362"/>
    <w:rsid w:val="2AA77DF6"/>
    <w:rsid w:val="2AE6585C"/>
    <w:rsid w:val="2B474C59"/>
    <w:rsid w:val="2BCA063D"/>
    <w:rsid w:val="2BCF21F3"/>
    <w:rsid w:val="2C2C4B30"/>
    <w:rsid w:val="2C850316"/>
    <w:rsid w:val="2CD507DC"/>
    <w:rsid w:val="2CFB3458"/>
    <w:rsid w:val="2D69489B"/>
    <w:rsid w:val="2D76669E"/>
    <w:rsid w:val="2E443D8A"/>
    <w:rsid w:val="2EE76F3B"/>
    <w:rsid w:val="2F736AA4"/>
    <w:rsid w:val="2FCF1EBB"/>
    <w:rsid w:val="2FD27BBB"/>
    <w:rsid w:val="2FF65D61"/>
    <w:rsid w:val="30B930E0"/>
    <w:rsid w:val="30EA7729"/>
    <w:rsid w:val="315F2437"/>
    <w:rsid w:val="31BB22CF"/>
    <w:rsid w:val="32607DE7"/>
    <w:rsid w:val="32D47A47"/>
    <w:rsid w:val="34104EF7"/>
    <w:rsid w:val="34122AE3"/>
    <w:rsid w:val="348C1357"/>
    <w:rsid w:val="34970617"/>
    <w:rsid w:val="34FC62CB"/>
    <w:rsid w:val="35034437"/>
    <w:rsid w:val="35153653"/>
    <w:rsid w:val="359576BD"/>
    <w:rsid w:val="35C573AC"/>
    <w:rsid w:val="35C60315"/>
    <w:rsid w:val="365F286C"/>
    <w:rsid w:val="366F155E"/>
    <w:rsid w:val="36773A41"/>
    <w:rsid w:val="36987C55"/>
    <w:rsid w:val="36E8582A"/>
    <w:rsid w:val="37011C35"/>
    <w:rsid w:val="370A1CA0"/>
    <w:rsid w:val="372B3FCB"/>
    <w:rsid w:val="37DB6575"/>
    <w:rsid w:val="37E3280F"/>
    <w:rsid w:val="38AC3B56"/>
    <w:rsid w:val="38F84B96"/>
    <w:rsid w:val="39E63781"/>
    <w:rsid w:val="39EE68CB"/>
    <w:rsid w:val="3B04112E"/>
    <w:rsid w:val="3B20491B"/>
    <w:rsid w:val="3B865070"/>
    <w:rsid w:val="3C2E2815"/>
    <w:rsid w:val="3C3566D7"/>
    <w:rsid w:val="3C4F105E"/>
    <w:rsid w:val="3CD53E86"/>
    <w:rsid w:val="3CE56D89"/>
    <w:rsid w:val="3D234E73"/>
    <w:rsid w:val="3D5E1C1E"/>
    <w:rsid w:val="3F06116B"/>
    <w:rsid w:val="404B1053"/>
    <w:rsid w:val="40D714DD"/>
    <w:rsid w:val="413767BE"/>
    <w:rsid w:val="415C18B3"/>
    <w:rsid w:val="41784314"/>
    <w:rsid w:val="41AD0D4D"/>
    <w:rsid w:val="41F178F8"/>
    <w:rsid w:val="420B4D9D"/>
    <w:rsid w:val="42843921"/>
    <w:rsid w:val="42BB3B26"/>
    <w:rsid w:val="42DE5E88"/>
    <w:rsid w:val="45046156"/>
    <w:rsid w:val="451B4C9F"/>
    <w:rsid w:val="454A4DD9"/>
    <w:rsid w:val="457A11C7"/>
    <w:rsid w:val="46427DDD"/>
    <w:rsid w:val="46583B9F"/>
    <w:rsid w:val="46930CA9"/>
    <w:rsid w:val="46A86D58"/>
    <w:rsid w:val="46F01D18"/>
    <w:rsid w:val="472F391B"/>
    <w:rsid w:val="47353D19"/>
    <w:rsid w:val="47B4176F"/>
    <w:rsid w:val="48137642"/>
    <w:rsid w:val="48677EE9"/>
    <w:rsid w:val="487649F0"/>
    <w:rsid w:val="49554385"/>
    <w:rsid w:val="497469E9"/>
    <w:rsid w:val="49820185"/>
    <w:rsid w:val="498E0E56"/>
    <w:rsid w:val="4AA22DFC"/>
    <w:rsid w:val="4AE95932"/>
    <w:rsid w:val="4B2379A4"/>
    <w:rsid w:val="4B3A3787"/>
    <w:rsid w:val="4B9543EA"/>
    <w:rsid w:val="4C1A1404"/>
    <w:rsid w:val="4CFB3714"/>
    <w:rsid w:val="4D401B41"/>
    <w:rsid w:val="4E3A6BF4"/>
    <w:rsid w:val="4F511E63"/>
    <w:rsid w:val="4FD01DE9"/>
    <w:rsid w:val="4FD23246"/>
    <w:rsid w:val="50533992"/>
    <w:rsid w:val="50A313C2"/>
    <w:rsid w:val="50EB2372"/>
    <w:rsid w:val="518939A4"/>
    <w:rsid w:val="524922EE"/>
    <w:rsid w:val="52CD7537"/>
    <w:rsid w:val="52F660C8"/>
    <w:rsid w:val="5312375D"/>
    <w:rsid w:val="53427C1E"/>
    <w:rsid w:val="53961B48"/>
    <w:rsid w:val="54067900"/>
    <w:rsid w:val="54451391"/>
    <w:rsid w:val="545041B4"/>
    <w:rsid w:val="547F0270"/>
    <w:rsid w:val="54880E5A"/>
    <w:rsid w:val="548A48C4"/>
    <w:rsid w:val="54C41977"/>
    <w:rsid w:val="54C763F7"/>
    <w:rsid w:val="54D86F08"/>
    <w:rsid w:val="54EA7DDD"/>
    <w:rsid w:val="551C4388"/>
    <w:rsid w:val="55B06489"/>
    <w:rsid w:val="56B53025"/>
    <w:rsid w:val="571116FE"/>
    <w:rsid w:val="5723167B"/>
    <w:rsid w:val="57822113"/>
    <w:rsid w:val="58D946DF"/>
    <w:rsid w:val="58FE67E5"/>
    <w:rsid w:val="597D0478"/>
    <w:rsid w:val="5A2D0667"/>
    <w:rsid w:val="5ADC5EA4"/>
    <w:rsid w:val="5B121D2D"/>
    <w:rsid w:val="5C036B16"/>
    <w:rsid w:val="5C133441"/>
    <w:rsid w:val="5C3B6DC8"/>
    <w:rsid w:val="5C4D5C83"/>
    <w:rsid w:val="5C7526C3"/>
    <w:rsid w:val="5CCA1043"/>
    <w:rsid w:val="5CD607FE"/>
    <w:rsid w:val="5D1A47B6"/>
    <w:rsid w:val="5D1E5A64"/>
    <w:rsid w:val="5D4D2366"/>
    <w:rsid w:val="5D5302A1"/>
    <w:rsid w:val="5D9D0230"/>
    <w:rsid w:val="5E3A4478"/>
    <w:rsid w:val="5E8911A6"/>
    <w:rsid w:val="5EAE64DF"/>
    <w:rsid w:val="5EF43C4B"/>
    <w:rsid w:val="5F7812D5"/>
    <w:rsid w:val="5F7C0185"/>
    <w:rsid w:val="60496FA4"/>
    <w:rsid w:val="60877953"/>
    <w:rsid w:val="60FE223B"/>
    <w:rsid w:val="611A11C0"/>
    <w:rsid w:val="61441B36"/>
    <w:rsid w:val="616852BD"/>
    <w:rsid w:val="620300D6"/>
    <w:rsid w:val="620E7B93"/>
    <w:rsid w:val="62404985"/>
    <w:rsid w:val="624F663B"/>
    <w:rsid w:val="62C5402A"/>
    <w:rsid w:val="62F01018"/>
    <w:rsid w:val="634665C1"/>
    <w:rsid w:val="63DD006D"/>
    <w:rsid w:val="63F20A69"/>
    <w:rsid w:val="63F83E93"/>
    <w:rsid w:val="64975565"/>
    <w:rsid w:val="649D0C7C"/>
    <w:rsid w:val="64E809FC"/>
    <w:rsid w:val="64F27622"/>
    <w:rsid w:val="65837A94"/>
    <w:rsid w:val="6588381D"/>
    <w:rsid w:val="65C15F36"/>
    <w:rsid w:val="65E30076"/>
    <w:rsid w:val="65F35CB2"/>
    <w:rsid w:val="671154D2"/>
    <w:rsid w:val="67F04BC5"/>
    <w:rsid w:val="684E5164"/>
    <w:rsid w:val="69342975"/>
    <w:rsid w:val="6A8A0BEB"/>
    <w:rsid w:val="6B1D5E8E"/>
    <w:rsid w:val="6BCF33C4"/>
    <w:rsid w:val="6BDE427E"/>
    <w:rsid w:val="6C103AA5"/>
    <w:rsid w:val="6C2D1643"/>
    <w:rsid w:val="6C3A7748"/>
    <w:rsid w:val="6C917D0F"/>
    <w:rsid w:val="6C9645C9"/>
    <w:rsid w:val="6CE967D7"/>
    <w:rsid w:val="6D470B12"/>
    <w:rsid w:val="6D471E97"/>
    <w:rsid w:val="6D7527CE"/>
    <w:rsid w:val="6DB730FF"/>
    <w:rsid w:val="6DC10C5D"/>
    <w:rsid w:val="6DE55772"/>
    <w:rsid w:val="6E3D7F2B"/>
    <w:rsid w:val="6ECD4B28"/>
    <w:rsid w:val="706012C1"/>
    <w:rsid w:val="709A3EFC"/>
    <w:rsid w:val="70C90405"/>
    <w:rsid w:val="70D249CB"/>
    <w:rsid w:val="71727F5C"/>
    <w:rsid w:val="71863C95"/>
    <w:rsid w:val="71A15E14"/>
    <w:rsid w:val="72083727"/>
    <w:rsid w:val="728946B2"/>
    <w:rsid w:val="72B422F8"/>
    <w:rsid w:val="72C140D4"/>
    <w:rsid w:val="7399237E"/>
    <w:rsid w:val="73DA5318"/>
    <w:rsid w:val="746149FC"/>
    <w:rsid w:val="7479465F"/>
    <w:rsid w:val="75134B53"/>
    <w:rsid w:val="75482300"/>
    <w:rsid w:val="760770A7"/>
    <w:rsid w:val="763438C6"/>
    <w:rsid w:val="769020E6"/>
    <w:rsid w:val="771C6966"/>
    <w:rsid w:val="7749317A"/>
    <w:rsid w:val="775D61DC"/>
    <w:rsid w:val="7768269C"/>
    <w:rsid w:val="7780018E"/>
    <w:rsid w:val="7793580B"/>
    <w:rsid w:val="779D60CC"/>
    <w:rsid w:val="783F4FFF"/>
    <w:rsid w:val="78500EAC"/>
    <w:rsid w:val="78CE1B5D"/>
    <w:rsid w:val="79C6148C"/>
    <w:rsid w:val="7A625FB5"/>
    <w:rsid w:val="7B1E1DEA"/>
    <w:rsid w:val="7B3B5BFF"/>
    <w:rsid w:val="7BC07B36"/>
    <w:rsid w:val="7BC35DA7"/>
    <w:rsid w:val="7BDF2B03"/>
    <w:rsid w:val="7C3608A5"/>
    <w:rsid w:val="7C5B75F9"/>
    <w:rsid w:val="7D7D0E64"/>
    <w:rsid w:val="7E382F19"/>
    <w:rsid w:val="7E3C29C0"/>
    <w:rsid w:val="7E426620"/>
    <w:rsid w:val="7E543442"/>
    <w:rsid w:val="7F126FF9"/>
    <w:rsid w:val="7F2D5F69"/>
    <w:rsid w:val="7F597E4D"/>
    <w:rsid w:val="7F881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4870</Words>
  <Characters>5122</Characters>
  <Lines>0</Lines>
  <Paragraphs>0</Paragraphs>
  <TotalTime>6</TotalTime>
  <ScaleCrop>false</ScaleCrop>
  <LinksUpToDate>false</LinksUpToDate>
  <CharactersWithSpaces>5257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2019-12-20T02:29:00Z</dcterms:created>
  <dc:creator>美xia</dc:creator>
  <cp:lastModifiedBy>a</cp:lastModifiedBy>
  <dcterms:modified xsi:type="dcterms:W3CDTF">2021-01-19T09:23:01Z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