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24" w:rsidRDefault="00DF4761">
      <w:pPr>
        <w:ind w:firstLineChars="0" w:firstLine="0"/>
        <w:jc w:val="center"/>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kern w:val="0"/>
          <w:sz w:val="36"/>
          <w:szCs w:val="36"/>
        </w:rPr>
        <w:t>部门整体支出绩效目标申报表</w:t>
      </w:r>
    </w:p>
    <w:p w:rsidR="00C53B24" w:rsidRDefault="00DF4761">
      <w:pPr>
        <w:ind w:firstLineChars="0" w:firstLine="0"/>
        <w:jc w:val="center"/>
        <w:rPr>
          <w:rFonts w:ascii="方正小标宋简体" w:eastAsia="方正小标宋简体" w:hAnsi="宋体"/>
          <w:color w:val="000000" w:themeColor="text1"/>
          <w:sz w:val="22"/>
        </w:rPr>
      </w:pPr>
      <w:r>
        <w:rPr>
          <w:rFonts w:ascii="宋体" w:hAnsi="宋体" w:cs="宋体" w:hint="eastAsia"/>
          <w:kern w:val="0"/>
          <w:sz w:val="32"/>
          <w:szCs w:val="32"/>
        </w:rPr>
        <w:t>（</w:t>
      </w:r>
      <w:r>
        <w:rPr>
          <w:rFonts w:ascii="宋体" w:hAnsi="宋体"/>
          <w:kern w:val="0"/>
          <w:sz w:val="32"/>
          <w:szCs w:val="32"/>
        </w:rPr>
        <w:t xml:space="preserve">  </w:t>
      </w:r>
      <w:r>
        <w:rPr>
          <w:rFonts w:ascii="宋体" w:hAnsi="宋体" w:hint="eastAsia"/>
          <w:kern w:val="0"/>
          <w:sz w:val="32"/>
          <w:szCs w:val="32"/>
        </w:rPr>
        <w:t>2021</w:t>
      </w:r>
      <w:r>
        <w:rPr>
          <w:rFonts w:ascii="宋体" w:hAnsi="宋体"/>
          <w:kern w:val="0"/>
          <w:sz w:val="32"/>
          <w:szCs w:val="32"/>
        </w:rPr>
        <w:t xml:space="preserve">  </w:t>
      </w:r>
      <w:r>
        <w:rPr>
          <w:rFonts w:ascii="宋体" w:hAnsi="宋体" w:cs="宋体" w:hint="eastAsia"/>
          <w:kern w:val="0"/>
          <w:sz w:val="32"/>
          <w:szCs w:val="32"/>
        </w:rPr>
        <w:t>年度）</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417"/>
        <w:gridCol w:w="1133"/>
        <w:gridCol w:w="1787"/>
        <w:gridCol w:w="4415"/>
      </w:tblGrid>
      <w:tr w:rsidR="00C53B24">
        <w:trPr>
          <w:trHeight w:val="1018"/>
        </w:trPr>
        <w:tc>
          <w:tcPr>
            <w:tcW w:w="621"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部门（单位）名称</w:t>
            </w:r>
          </w:p>
        </w:tc>
        <w:tc>
          <w:tcPr>
            <w:tcW w:w="4379" w:type="pct"/>
            <w:gridSpan w:val="4"/>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北京市西城区人民政府展览路街道办事处</w:t>
            </w:r>
          </w:p>
        </w:tc>
      </w:tr>
      <w:tr w:rsidR="00C53B24">
        <w:trPr>
          <w:trHeight w:val="550"/>
        </w:trPr>
        <w:tc>
          <w:tcPr>
            <w:tcW w:w="621" w:type="pct"/>
            <w:vMerge w:val="restar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部门（单位）总体资金情况（万元）</w:t>
            </w:r>
          </w:p>
        </w:tc>
        <w:tc>
          <w:tcPr>
            <w:tcW w:w="2170" w:type="pct"/>
            <w:gridSpan w:val="3"/>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资金总额</w:t>
            </w:r>
          </w:p>
        </w:tc>
        <w:tc>
          <w:tcPr>
            <w:tcW w:w="2209" w:type="pct"/>
            <w:shd w:val="clear" w:color="auto" w:fill="auto"/>
            <w:vAlign w:val="center"/>
          </w:tcPr>
          <w:p w:rsidR="00C53B24" w:rsidRDefault="00DF4761">
            <w:pPr>
              <w:widowControl/>
              <w:ind w:firstLineChars="0" w:firstLine="0"/>
              <w:jc w:val="center"/>
              <w:rPr>
                <w:rFonts w:ascii="宋体" w:hAnsi="宋体" w:cs="宋体"/>
                <w:kern w:val="0"/>
                <w:sz w:val="20"/>
                <w:szCs w:val="20"/>
              </w:rPr>
            </w:pPr>
            <w:r>
              <w:rPr>
                <w:rFonts w:ascii="宋体" w:hAnsi="宋体" w:cs="宋体" w:hint="eastAsia"/>
                <w:kern w:val="0"/>
                <w:sz w:val="20"/>
                <w:szCs w:val="20"/>
              </w:rPr>
              <w:t>41421.22</w:t>
            </w:r>
            <w:r>
              <w:rPr>
                <w:rFonts w:ascii="宋体" w:hAnsi="宋体" w:cs="宋体" w:hint="eastAsia"/>
                <w:kern w:val="0"/>
                <w:sz w:val="20"/>
                <w:szCs w:val="20"/>
              </w:rPr>
              <w:t>万元</w:t>
            </w:r>
          </w:p>
        </w:tc>
      </w:tr>
      <w:tr w:rsidR="00C53B24">
        <w:trPr>
          <w:trHeight w:val="572"/>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2170" w:type="pct"/>
            <w:gridSpan w:val="3"/>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基本支出</w:t>
            </w:r>
          </w:p>
        </w:tc>
        <w:tc>
          <w:tcPr>
            <w:tcW w:w="2209" w:type="pct"/>
            <w:shd w:val="clear" w:color="auto" w:fill="auto"/>
            <w:vAlign w:val="center"/>
          </w:tcPr>
          <w:p w:rsidR="00C53B24" w:rsidRDefault="00DF4761">
            <w:pPr>
              <w:widowControl/>
              <w:ind w:firstLineChars="0" w:firstLine="0"/>
              <w:jc w:val="center"/>
              <w:rPr>
                <w:rFonts w:ascii="宋体" w:hAnsi="宋体" w:cs="宋体"/>
                <w:kern w:val="0"/>
                <w:sz w:val="20"/>
                <w:szCs w:val="20"/>
              </w:rPr>
            </w:pPr>
            <w:r>
              <w:rPr>
                <w:rFonts w:ascii="宋体" w:hAnsi="宋体" w:cs="宋体" w:hint="eastAsia"/>
                <w:kern w:val="0"/>
                <w:sz w:val="20"/>
                <w:szCs w:val="20"/>
              </w:rPr>
              <w:t>10470.23</w:t>
            </w:r>
            <w:r>
              <w:rPr>
                <w:rFonts w:ascii="宋体" w:hAnsi="宋体" w:cs="宋体" w:hint="eastAsia"/>
                <w:kern w:val="0"/>
                <w:sz w:val="20"/>
                <w:szCs w:val="20"/>
              </w:rPr>
              <w:t>万元</w:t>
            </w:r>
          </w:p>
        </w:tc>
      </w:tr>
      <w:tr w:rsidR="00C53B24">
        <w:trPr>
          <w:trHeight w:val="550"/>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2170" w:type="pct"/>
            <w:gridSpan w:val="3"/>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项目支出</w:t>
            </w:r>
          </w:p>
        </w:tc>
        <w:tc>
          <w:tcPr>
            <w:tcW w:w="2209" w:type="pct"/>
            <w:shd w:val="clear" w:color="auto" w:fill="auto"/>
            <w:vAlign w:val="center"/>
          </w:tcPr>
          <w:p w:rsidR="00C53B24" w:rsidRDefault="00DF4761">
            <w:pPr>
              <w:widowControl/>
              <w:ind w:firstLineChars="0" w:firstLine="0"/>
              <w:jc w:val="center"/>
              <w:rPr>
                <w:rFonts w:ascii="宋体" w:hAnsi="宋体" w:cs="宋体"/>
                <w:kern w:val="0"/>
                <w:sz w:val="20"/>
                <w:szCs w:val="20"/>
              </w:rPr>
            </w:pPr>
            <w:r>
              <w:rPr>
                <w:rFonts w:ascii="宋体" w:hAnsi="宋体" w:cs="宋体" w:hint="eastAsia"/>
                <w:kern w:val="0"/>
                <w:sz w:val="20"/>
                <w:szCs w:val="20"/>
              </w:rPr>
              <w:t>30950.99</w:t>
            </w:r>
            <w:r>
              <w:rPr>
                <w:rFonts w:ascii="宋体" w:hAnsi="宋体" w:cs="宋体" w:hint="eastAsia"/>
                <w:kern w:val="0"/>
                <w:sz w:val="20"/>
                <w:szCs w:val="20"/>
              </w:rPr>
              <w:t>万元</w:t>
            </w:r>
          </w:p>
        </w:tc>
      </w:tr>
      <w:tr w:rsidR="00C53B24">
        <w:trPr>
          <w:trHeight w:val="7506"/>
        </w:trPr>
        <w:tc>
          <w:tcPr>
            <w:tcW w:w="621" w:type="pct"/>
            <w:shd w:val="clear" w:color="auto" w:fill="auto"/>
            <w:vAlign w:val="center"/>
          </w:tcPr>
          <w:p w:rsidR="00C53B24" w:rsidRDefault="00DF4761">
            <w:pPr>
              <w:widowControl/>
              <w:snapToGrid w:val="0"/>
              <w:spacing w:line="288" w:lineRule="auto"/>
              <w:ind w:firstLineChars="0" w:firstLine="0"/>
              <w:jc w:val="left"/>
              <w:rPr>
                <w:rFonts w:ascii="宋体" w:eastAsia="宋体" w:hAnsi="宋体" w:cs="宋体"/>
                <w:color w:val="000000" w:themeColor="text1"/>
                <w:kern w:val="0"/>
                <w:sz w:val="20"/>
                <w:szCs w:val="21"/>
              </w:rPr>
            </w:pPr>
            <w:r>
              <w:rPr>
                <w:rFonts w:ascii="宋体" w:eastAsia="宋体" w:hAnsi="宋体" w:cs="宋体" w:hint="eastAsia"/>
                <w:color w:val="000000" w:themeColor="text1"/>
                <w:kern w:val="0"/>
                <w:sz w:val="20"/>
                <w:szCs w:val="21"/>
              </w:rPr>
              <w:t>部门（单位）绩效目标</w:t>
            </w:r>
          </w:p>
        </w:tc>
        <w:tc>
          <w:tcPr>
            <w:tcW w:w="4379" w:type="pct"/>
            <w:gridSpan w:val="4"/>
            <w:shd w:val="clear" w:color="auto" w:fill="auto"/>
            <w:vAlign w:val="center"/>
          </w:tcPr>
          <w:p w:rsidR="00C53B24" w:rsidRDefault="00DF4761">
            <w:pPr>
              <w:widowControl/>
              <w:snapToGrid w:val="0"/>
              <w:spacing w:line="288" w:lineRule="auto"/>
              <w:ind w:firstLine="400"/>
              <w:rPr>
                <w:rFonts w:ascii="宋体" w:eastAsia="宋体" w:hAnsi="宋体" w:cs="宋体"/>
                <w:color w:val="000000" w:themeColor="text1"/>
                <w:kern w:val="0"/>
                <w:sz w:val="20"/>
                <w:szCs w:val="21"/>
              </w:rPr>
            </w:pPr>
            <w:r>
              <w:rPr>
                <w:rFonts w:ascii="宋体" w:eastAsia="宋体" w:hAnsi="宋体" w:cs="宋体" w:hint="eastAsia"/>
                <w:color w:val="000000" w:themeColor="text1"/>
                <w:kern w:val="0"/>
                <w:sz w:val="20"/>
                <w:szCs w:val="21"/>
              </w:rPr>
              <w:t>2021</w:t>
            </w:r>
            <w:r>
              <w:rPr>
                <w:rFonts w:ascii="宋体" w:eastAsia="宋体" w:hAnsi="宋体" w:cs="宋体" w:hint="eastAsia"/>
                <w:color w:val="000000" w:themeColor="text1"/>
                <w:kern w:val="0"/>
                <w:sz w:val="20"/>
                <w:szCs w:val="21"/>
              </w:rPr>
              <w:t>年是开启全面建设社会主义现代化国家新征程、实施“十四五”规划的开局之年，也将迎来建党</w:t>
            </w:r>
            <w:r>
              <w:rPr>
                <w:rFonts w:ascii="宋体" w:eastAsia="宋体" w:hAnsi="宋体" w:cs="宋体" w:hint="eastAsia"/>
                <w:color w:val="000000" w:themeColor="text1"/>
                <w:kern w:val="0"/>
                <w:sz w:val="20"/>
                <w:szCs w:val="21"/>
              </w:rPr>
              <w:t>100</w:t>
            </w:r>
            <w:r>
              <w:rPr>
                <w:rFonts w:ascii="宋体" w:eastAsia="宋体" w:hAnsi="宋体" w:cs="宋体" w:hint="eastAsia"/>
                <w:color w:val="000000" w:themeColor="text1"/>
                <w:kern w:val="0"/>
                <w:sz w:val="20"/>
                <w:szCs w:val="21"/>
              </w:rPr>
              <w:t>周年。新形势下，展览路街道将立足新阶段、聚焦新任务，坚持以习近平新时代中国特色社会主义思想为指导，以习近平总书记对北京重要讲话和指示批示精神为根本遵循，全面贯彻党的十九大和十九届二中、三中、四中、五中全会精神，增强“四个意识”、坚定“四个自信”、做到“两个维护”。坚持常态化疫情防控不放松，对标对表市区“十四五”时期确定的目标任务和核心区控</w:t>
            </w:r>
            <w:proofErr w:type="gramStart"/>
            <w:r>
              <w:rPr>
                <w:rFonts w:ascii="宋体" w:eastAsia="宋体" w:hAnsi="宋体" w:cs="宋体" w:hint="eastAsia"/>
                <w:color w:val="000000" w:themeColor="text1"/>
                <w:kern w:val="0"/>
                <w:sz w:val="20"/>
                <w:szCs w:val="21"/>
              </w:rPr>
              <w:t>规</w:t>
            </w:r>
            <w:proofErr w:type="gramEnd"/>
            <w:r>
              <w:rPr>
                <w:rFonts w:ascii="宋体" w:eastAsia="宋体" w:hAnsi="宋体" w:cs="宋体" w:hint="eastAsia"/>
                <w:color w:val="000000" w:themeColor="text1"/>
                <w:kern w:val="0"/>
                <w:sz w:val="20"/>
                <w:szCs w:val="21"/>
              </w:rPr>
              <w:t>要求，稳中求进，更加奋发有为地推动区域经济社会实现新的发展，办好群众家门</w:t>
            </w:r>
            <w:r>
              <w:rPr>
                <w:rFonts w:ascii="宋体" w:eastAsia="宋体" w:hAnsi="宋体" w:cs="宋体" w:hint="eastAsia"/>
                <w:color w:val="000000" w:themeColor="text1"/>
                <w:kern w:val="0"/>
                <w:sz w:val="20"/>
                <w:szCs w:val="21"/>
              </w:rPr>
              <w:t>口的事。</w:t>
            </w:r>
          </w:p>
          <w:p w:rsidR="00C53B24" w:rsidRDefault="00DF4761">
            <w:pPr>
              <w:widowControl/>
              <w:snapToGrid w:val="0"/>
              <w:spacing w:line="288" w:lineRule="auto"/>
              <w:ind w:firstLine="400"/>
              <w:rPr>
                <w:rFonts w:ascii="宋体" w:eastAsia="宋体" w:hAnsi="宋体" w:cs="宋体"/>
                <w:color w:val="000000" w:themeColor="text1"/>
                <w:kern w:val="0"/>
                <w:sz w:val="20"/>
                <w:szCs w:val="21"/>
              </w:rPr>
            </w:pPr>
            <w:r>
              <w:rPr>
                <w:rFonts w:ascii="宋体" w:eastAsia="宋体" w:hAnsi="宋体" w:cs="宋体" w:hint="eastAsia"/>
                <w:color w:val="000000" w:themeColor="text1"/>
                <w:kern w:val="0"/>
                <w:sz w:val="20"/>
                <w:szCs w:val="21"/>
              </w:rPr>
              <w:t>重点做好以下几个方面：</w:t>
            </w:r>
          </w:p>
          <w:p w:rsidR="00C53B24" w:rsidRDefault="00DF4761">
            <w:pPr>
              <w:widowControl/>
              <w:snapToGrid w:val="0"/>
              <w:spacing w:line="288" w:lineRule="auto"/>
              <w:ind w:firstLine="402"/>
              <w:rPr>
                <w:rFonts w:ascii="宋体" w:eastAsia="宋体" w:hAnsi="宋体" w:cs="宋体"/>
                <w:b/>
                <w:bCs/>
                <w:color w:val="000000" w:themeColor="text1"/>
                <w:kern w:val="0"/>
                <w:sz w:val="20"/>
                <w:szCs w:val="21"/>
              </w:rPr>
            </w:pPr>
            <w:r>
              <w:rPr>
                <w:rFonts w:ascii="宋体" w:eastAsia="宋体" w:hAnsi="宋体" w:cs="宋体" w:hint="eastAsia"/>
                <w:b/>
                <w:bCs/>
                <w:color w:val="000000" w:themeColor="text1"/>
                <w:kern w:val="0"/>
                <w:sz w:val="20"/>
                <w:szCs w:val="21"/>
              </w:rPr>
              <w:t>（一）持续深化党建引领，筑牢压实发展根基</w:t>
            </w:r>
          </w:p>
          <w:p w:rsidR="00C53B24" w:rsidRDefault="00DF4761">
            <w:pPr>
              <w:widowControl/>
              <w:snapToGrid w:val="0"/>
              <w:spacing w:line="288" w:lineRule="auto"/>
              <w:ind w:firstLine="400"/>
              <w:rPr>
                <w:rFonts w:ascii="宋体" w:eastAsia="宋体" w:hAnsi="宋体" w:cs="宋体"/>
                <w:color w:val="000000" w:themeColor="text1"/>
                <w:kern w:val="0"/>
                <w:sz w:val="20"/>
                <w:szCs w:val="21"/>
              </w:rPr>
            </w:pPr>
            <w:r>
              <w:rPr>
                <w:rFonts w:ascii="宋体" w:eastAsia="宋体" w:hAnsi="宋体" w:cs="宋体" w:hint="eastAsia"/>
                <w:bCs/>
                <w:color w:val="000000" w:themeColor="text1"/>
                <w:kern w:val="0"/>
                <w:sz w:val="20"/>
                <w:szCs w:val="21"/>
              </w:rPr>
              <w:t>一是以党的政治建设为根本，推动学习贯彻习近平新时代中国特色社会主义思想</w:t>
            </w:r>
            <w:proofErr w:type="gramStart"/>
            <w:r>
              <w:rPr>
                <w:rFonts w:ascii="宋体" w:eastAsia="宋体" w:hAnsi="宋体" w:cs="宋体" w:hint="eastAsia"/>
                <w:bCs/>
                <w:color w:val="000000" w:themeColor="text1"/>
                <w:kern w:val="0"/>
                <w:sz w:val="20"/>
                <w:szCs w:val="21"/>
              </w:rPr>
              <w:t>走实走深</w:t>
            </w:r>
            <w:proofErr w:type="gramEnd"/>
            <w:r>
              <w:rPr>
                <w:rFonts w:ascii="宋体" w:eastAsia="宋体" w:hAnsi="宋体" w:cs="宋体" w:hint="eastAsia"/>
                <w:bCs/>
                <w:color w:val="000000" w:themeColor="text1"/>
                <w:kern w:val="0"/>
                <w:sz w:val="20"/>
                <w:szCs w:val="21"/>
              </w:rPr>
              <w:t>。二是以组织力提升为重点，不断提升基层党建工作水平。三是以庆祝中国共产党成立</w:t>
            </w:r>
            <w:r>
              <w:rPr>
                <w:rFonts w:ascii="宋体" w:eastAsia="宋体" w:hAnsi="宋体" w:cs="宋体" w:hint="eastAsia"/>
                <w:bCs/>
                <w:color w:val="000000" w:themeColor="text1"/>
                <w:kern w:val="0"/>
                <w:sz w:val="20"/>
                <w:szCs w:val="21"/>
              </w:rPr>
              <w:t>100</w:t>
            </w:r>
            <w:r>
              <w:rPr>
                <w:rFonts w:ascii="宋体" w:eastAsia="宋体" w:hAnsi="宋体" w:cs="宋体" w:hint="eastAsia"/>
                <w:bCs/>
                <w:color w:val="000000" w:themeColor="text1"/>
                <w:kern w:val="0"/>
                <w:sz w:val="20"/>
                <w:szCs w:val="21"/>
              </w:rPr>
              <w:t>周年为主线，继续筑牢意识形态阵地。四是以全面从严治党主体责任为着力点，坚决扛起“两个责任”。</w:t>
            </w:r>
          </w:p>
          <w:p w:rsidR="00C53B24" w:rsidRDefault="00DF4761">
            <w:pPr>
              <w:widowControl/>
              <w:snapToGrid w:val="0"/>
              <w:spacing w:line="288" w:lineRule="auto"/>
              <w:ind w:firstLine="402"/>
              <w:rPr>
                <w:rFonts w:ascii="宋体" w:eastAsia="宋体" w:hAnsi="宋体" w:cs="宋体"/>
                <w:b/>
                <w:bCs/>
                <w:color w:val="000000" w:themeColor="text1"/>
                <w:kern w:val="0"/>
                <w:sz w:val="20"/>
                <w:szCs w:val="21"/>
              </w:rPr>
            </w:pPr>
            <w:r>
              <w:rPr>
                <w:rFonts w:ascii="宋体" w:eastAsia="宋体" w:hAnsi="宋体" w:cs="宋体" w:hint="eastAsia"/>
                <w:b/>
                <w:bCs/>
                <w:color w:val="000000" w:themeColor="text1"/>
                <w:kern w:val="0"/>
                <w:sz w:val="20"/>
                <w:szCs w:val="21"/>
              </w:rPr>
              <w:t>（二）坚决落实首善标准，</w:t>
            </w:r>
            <w:proofErr w:type="gramStart"/>
            <w:r>
              <w:rPr>
                <w:rFonts w:ascii="宋体" w:eastAsia="宋体" w:hAnsi="宋体" w:cs="宋体" w:hint="eastAsia"/>
                <w:b/>
                <w:bCs/>
                <w:color w:val="000000" w:themeColor="text1"/>
                <w:kern w:val="0"/>
                <w:sz w:val="20"/>
                <w:szCs w:val="21"/>
              </w:rPr>
              <w:t>践行</w:t>
            </w:r>
            <w:proofErr w:type="gramEnd"/>
            <w:r>
              <w:rPr>
                <w:rFonts w:ascii="宋体" w:eastAsia="宋体" w:hAnsi="宋体" w:cs="宋体" w:hint="eastAsia"/>
                <w:b/>
                <w:bCs/>
                <w:color w:val="000000" w:themeColor="text1"/>
                <w:kern w:val="0"/>
                <w:sz w:val="20"/>
                <w:szCs w:val="21"/>
              </w:rPr>
              <w:t>核心区使命担当</w:t>
            </w:r>
          </w:p>
          <w:p w:rsidR="00C53B24" w:rsidRDefault="00DF4761">
            <w:pPr>
              <w:widowControl/>
              <w:snapToGrid w:val="0"/>
              <w:spacing w:line="288" w:lineRule="auto"/>
              <w:ind w:firstLine="400"/>
              <w:rPr>
                <w:rFonts w:ascii="宋体" w:eastAsia="宋体" w:hAnsi="宋体" w:cs="宋体"/>
                <w:color w:val="000000" w:themeColor="text1"/>
                <w:kern w:val="0"/>
                <w:sz w:val="20"/>
                <w:szCs w:val="21"/>
              </w:rPr>
            </w:pPr>
            <w:r>
              <w:rPr>
                <w:rFonts w:ascii="宋体" w:eastAsia="宋体" w:hAnsi="宋体" w:cs="宋体" w:hint="eastAsia"/>
                <w:color w:val="000000" w:themeColor="text1"/>
                <w:kern w:val="0"/>
                <w:sz w:val="20"/>
                <w:szCs w:val="21"/>
              </w:rPr>
              <w:t>一是</w:t>
            </w:r>
            <w:r>
              <w:rPr>
                <w:rFonts w:ascii="宋体" w:eastAsia="宋体" w:hAnsi="宋体" w:cs="宋体" w:hint="eastAsia"/>
                <w:bCs/>
                <w:color w:val="000000" w:themeColor="text1"/>
                <w:kern w:val="0"/>
                <w:sz w:val="20"/>
                <w:szCs w:val="21"/>
              </w:rPr>
              <w:t>坚持做好疫情常态化防控。</w:t>
            </w:r>
            <w:r>
              <w:rPr>
                <w:rFonts w:ascii="宋体" w:eastAsia="宋体" w:hAnsi="宋体" w:cs="宋体" w:hint="eastAsia"/>
                <w:color w:val="000000" w:themeColor="text1"/>
                <w:kern w:val="0"/>
                <w:sz w:val="20"/>
                <w:szCs w:val="21"/>
              </w:rPr>
              <w:t>二是</w:t>
            </w:r>
            <w:r>
              <w:rPr>
                <w:rFonts w:ascii="宋体" w:eastAsia="宋体" w:hAnsi="宋体" w:cs="宋体" w:hint="eastAsia"/>
                <w:bCs/>
                <w:color w:val="000000" w:themeColor="text1"/>
                <w:kern w:val="0"/>
                <w:sz w:val="20"/>
                <w:szCs w:val="21"/>
              </w:rPr>
              <w:t>持续做好为中央政务服务。三是全力</w:t>
            </w:r>
            <w:proofErr w:type="gramStart"/>
            <w:r>
              <w:rPr>
                <w:rFonts w:ascii="宋体" w:eastAsia="宋体" w:hAnsi="宋体" w:cs="宋体" w:hint="eastAsia"/>
                <w:bCs/>
                <w:color w:val="000000" w:themeColor="text1"/>
                <w:kern w:val="0"/>
                <w:sz w:val="20"/>
                <w:szCs w:val="21"/>
              </w:rPr>
              <w:t>保障好金科</w:t>
            </w:r>
            <w:proofErr w:type="gramEnd"/>
            <w:r>
              <w:rPr>
                <w:rFonts w:ascii="宋体" w:eastAsia="宋体" w:hAnsi="宋体" w:cs="宋体" w:hint="eastAsia"/>
                <w:bCs/>
                <w:color w:val="000000" w:themeColor="text1"/>
                <w:kern w:val="0"/>
                <w:sz w:val="20"/>
                <w:szCs w:val="21"/>
              </w:rPr>
              <w:t>新区建设。四是不断落实好核心区控</w:t>
            </w:r>
            <w:proofErr w:type="gramStart"/>
            <w:r>
              <w:rPr>
                <w:rFonts w:ascii="宋体" w:eastAsia="宋体" w:hAnsi="宋体" w:cs="宋体" w:hint="eastAsia"/>
                <w:bCs/>
                <w:color w:val="000000" w:themeColor="text1"/>
                <w:kern w:val="0"/>
                <w:sz w:val="20"/>
                <w:szCs w:val="21"/>
              </w:rPr>
              <w:t>规</w:t>
            </w:r>
            <w:proofErr w:type="gramEnd"/>
            <w:r>
              <w:rPr>
                <w:rFonts w:ascii="宋体" w:eastAsia="宋体" w:hAnsi="宋体" w:cs="宋体" w:hint="eastAsia"/>
                <w:bCs/>
                <w:color w:val="000000" w:themeColor="text1"/>
                <w:kern w:val="0"/>
                <w:sz w:val="20"/>
                <w:szCs w:val="21"/>
              </w:rPr>
              <w:t>。五是扎实推进好重要战略任务。</w:t>
            </w:r>
          </w:p>
          <w:p w:rsidR="00C53B24" w:rsidRDefault="00DF4761">
            <w:pPr>
              <w:widowControl/>
              <w:snapToGrid w:val="0"/>
              <w:spacing w:line="288" w:lineRule="auto"/>
              <w:ind w:firstLine="402"/>
              <w:rPr>
                <w:rFonts w:ascii="宋体" w:eastAsia="宋体" w:hAnsi="宋体" w:cs="宋体"/>
                <w:b/>
                <w:bCs/>
                <w:color w:val="000000" w:themeColor="text1"/>
                <w:kern w:val="0"/>
                <w:sz w:val="20"/>
                <w:szCs w:val="21"/>
              </w:rPr>
            </w:pPr>
            <w:r>
              <w:rPr>
                <w:rFonts w:ascii="宋体" w:eastAsia="宋体" w:hAnsi="宋体" w:cs="宋体" w:hint="eastAsia"/>
                <w:b/>
                <w:bCs/>
                <w:color w:val="000000" w:themeColor="text1"/>
                <w:kern w:val="0"/>
                <w:sz w:val="20"/>
                <w:szCs w:val="21"/>
              </w:rPr>
              <w:t>（三）牢固树立新发展理念，着力提升区域发展品质</w:t>
            </w:r>
          </w:p>
          <w:p w:rsidR="00C53B24" w:rsidRDefault="00DF4761">
            <w:pPr>
              <w:widowControl/>
              <w:snapToGrid w:val="0"/>
              <w:spacing w:line="288" w:lineRule="auto"/>
              <w:ind w:firstLine="400"/>
              <w:rPr>
                <w:rFonts w:ascii="宋体" w:eastAsia="宋体" w:hAnsi="宋体" w:cs="宋体"/>
                <w:color w:val="000000" w:themeColor="text1"/>
                <w:kern w:val="0"/>
                <w:sz w:val="20"/>
                <w:szCs w:val="21"/>
              </w:rPr>
            </w:pPr>
            <w:r>
              <w:rPr>
                <w:rFonts w:ascii="宋体" w:eastAsia="宋体" w:hAnsi="宋体" w:cs="宋体" w:hint="eastAsia"/>
                <w:color w:val="000000" w:themeColor="text1"/>
                <w:kern w:val="0"/>
                <w:sz w:val="20"/>
                <w:szCs w:val="21"/>
              </w:rPr>
              <w:t>一是</w:t>
            </w:r>
            <w:r>
              <w:rPr>
                <w:rFonts w:ascii="宋体" w:eastAsia="宋体" w:hAnsi="宋体" w:cs="宋体" w:hint="eastAsia"/>
                <w:bCs/>
                <w:color w:val="000000" w:themeColor="text1"/>
                <w:kern w:val="0"/>
                <w:sz w:val="20"/>
                <w:szCs w:val="21"/>
              </w:rPr>
              <w:t>坚持绿色发展，深入打好污染防治攻坚战</w:t>
            </w:r>
            <w:r>
              <w:rPr>
                <w:rFonts w:ascii="宋体" w:eastAsia="宋体" w:hAnsi="宋体" w:cs="宋体" w:hint="eastAsia"/>
                <w:color w:val="000000" w:themeColor="text1"/>
                <w:kern w:val="0"/>
                <w:sz w:val="20"/>
                <w:szCs w:val="21"/>
              </w:rPr>
              <w:t>。二是</w:t>
            </w:r>
            <w:r>
              <w:rPr>
                <w:rFonts w:ascii="宋体" w:eastAsia="宋体" w:hAnsi="宋体" w:cs="宋体" w:hint="eastAsia"/>
                <w:bCs/>
                <w:color w:val="000000" w:themeColor="text1"/>
                <w:kern w:val="0"/>
                <w:sz w:val="20"/>
                <w:szCs w:val="21"/>
              </w:rPr>
              <w:t>深化垃圾分类，加快垃圾</w:t>
            </w:r>
            <w:proofErr w:type="gramStart"/>
            <w:r>
              <w:rPr>
                <w:rFonts w:ascii="宋体" w:eastAsia="宋体" w:hAnsi="宋体" w:cs="宋体" w:hint="eastAsia"/>
                <w:bCs/>
                <w:color w:val="000000" w:themeColor="text1"/>
                <w:kern w:val="0"/>
                <w:sz w:val="20"/>
                <w:szCs w:val="21"/>
              </w:rPr>
              <w:t>分类全</w:t>
            </w:r>
            <w:proofErr w:type="gramEnd"/>
            <w:r>
              <w:rPr>
                <w:rFonts w:ascii="宋体" w:eastAsia="宋体" w:hAnsi="宋体" w:cs="宋体" w:hint="eastAsia"/>
                <w:bCs/>
                <w:color w:val="000000" w:themeColor="text1"/>
                <w:kern w:val="0"/>
                <w:sz w:val="20"/>
                <w:szCs w:val="21"/>
              </w:rPr>
              <w:t>流程精细化管理体系建设。</w:t>
            </w:r>
            <w:r>
              <w:rPr>
                <w:rFonts w:ascii="宋体" w:eastAsia="宋体" w:hAnsi="宋体" w:cs="宋体" w:hint="eastAsia"/>
                <w:color w:val="000000" w:themeColor="text1"/>
                <w:kern w:val="0"/>
                <w:sz w:val="20"/>
                <w:szCs w:val="21"/>
              </w:rPr>
              <w:t>三是</w:t>
            </w:r>
            <w:r>
              <w:rPr>
                <w:rFonts w:ascii="宋体" w:eastAsia="宋体" w:hAnsi="宋体" w:cs="宋体" w:hint="eastAsia"/>
                <w:bCs/>
                <w:color w:val="000000" w:themeColor="text1"/>
                <w:kern w:val="0"/>
                <w:sz w:val="20"/>
                <w:szCs w:val="21"/>
              </w:rPr>
              <w:t>加强老旧小区综合整治，努力提升居民生活质量</w:t>
            </w:r>
            <w:r>
              <w:rPr>
                <w:rFonts w:ascii="宋体" w:eastAsia="宋体" w:hAnsi="宋体" w:cs="宋体" w:hint="eastAsia"/>
                <w:color w:val="000000" w:themeColor="text1"/>
                <w:kern w:val="0"/>
                <w:sz w:val="20"/>
                <w:szCs w:val="21"/>
              </w:rPr>
              <w:t>。</w:t>
            </w:r>
          </w:p>
          <w:p w:rsidR="00C53B24" w:rsidRDefault="00DF4761">
            <w:pPr>
              <w:widowControl/>
              <w:snapToGrid w:val="0"/>
              <w:spacing w:line="288" w:lineRule="auto"/>
              <w:ind w:firstLine="402"/>
              <w:rPr>
                <w:rFonts w:ascii="宋体" w:eastAsia="宋体" w:hAnsi="宋体" w:cs="宋体"/>
                <w:b/>
                <w:color w:val="000000" w:themeColor="text1"/>
                <w:kern w:val="0"/>
                <w:sz w:val="20"/>
                <w:szCs w:val="21"/>
              </w:rPr>
            </w:pPr>
            <w:r>
              <w:rPr>
                <w:rFonts w:ascii="宋体" w:eastAsia="宋体" w:hAnsi="宋体" w:cs="宋体" w:hint="eastAsia"/>
                <w:b/>
                <w:color w:val="000000" w:themeColor="text1"/>
                <w:kern w:val="0"/>
                <w:sz w:val="20"/>
                <w:szCs w:val="21"/>
              </w:rPr>
              <w:t>（四）</w:t>
            </w:r>
            <w:r>
              <w:rPr>
                <w:rFonts w:ascii="宋体" w:eastAsia="宋体" w:hAnsi="宋体" w:cs="宋体" w:hint="eastAsia"/>
                <w:b/>
                <w:bCs/>
                <w:color w:val="000000" w:themeColor="text1"/>
                <w:kern w:val="0"/>
                <w:sz w:val="20"/>
                <w:szCs w:val="21"/>
              </w:rPr>
              <w:t>深入推进社会治理创新，有力保障社会和谐稳定</w:t>
            </w:r>
          </w:p>
          <w:p w:rsidR="00C53B24" w:rsidRDefault="00DF4761">
            <w:pPr>
              <w:widowControl/>
              <w:snapToGrid w:val="0"/>
              <w:spacing w:line="288" w:lineRule="auto"/>
              <w:ind w:firstLine="400"/>
              <w:rPr>
                <w:rFonts w:ascii="宋体" w:eastAsia="宋体" w:hAnsi="宋体" w:cs="宋体"/>
                <w:color w:val="000000" w:themeColor="text1"/>
                <w:kern w:val="0"/>
                <w:sz w:val="20"/>
                <w:szCs w:val="21"/>
              </w:rPr>
            </w:pPr>
            <w:r>
              <w:rPr>
                <w:rFonts w:ascii="宋体" w:eastAsia="宋体" w:hAnsi="宋体" w:cs="宋体" w:hint="eastAsia"/>
                <w:color w:val="000000" w:themeColor="text1"/>
                <w:kern w:val="0"/>
                <w:sz w:val="20"/>
                <w:szCs w:val="21"/>
              </w:rPr>
              <w:t>一是</w:t>
            </w:r>
            <w:r>
              <w:rPr>
                <w:rFonts w:ascii="宋体" w:eastAsia="宋体" w:hAnsi="宋体" w:cs="宋体" w:hint="eastAsia"/>
                <w:bCs/>
                <w:color w:val="000000" w:themeColor="text1"/>
                <w:kern w:val="0"/>
                <w:sz w:val="20"/>
                <w:szCs w:val="21"/>
              </w:rPr>
              <w:t>加强党的领导，完善社会治理现代化体系。</w:t>
            </w:r>
            <w:r>
              <w:rPr>
                <w:rFonts w:ascii="宋体" w:eastAsia="宋体" w:hAnsi="宋体" w:cs="宋体" w:hint="eastAsia"/>
                <w:color w:val="000000" w:themeColor="text1"/>
                <w:kern w:val="0"/>
                <w:sz w:val="20"/>
                <w:szCs w:val="21"/>
              </w:rPr>
              <w:t>二是</w:t>
            </w:r>
            <w:r>
              <w:rPr>
                <w:rFonts w:ascii="宋体" w:eastAsia="宋体" w:hAnsi="宋体" w:cs="宋体" w:hint="eastAsia"/>
                <w:bCs/>
                <w:color w:val="000000" w:themeColor="text1"/>
                <w:kern w:val="0"/>
                <w:sz w:val="20"/>
                <w:szCs w:val="21"/>
              </w:rPr>
              <w:t>激发社会活力，提升社会治理现代化能力。</w:t>
            </w:r>
            <w:r>
              <w:rPr>
                <w:rFonts w:ascii="宋体" w:eastAsia="宋体" w:hAnsi="宋体" w:cs="宋体" w:hint="eastAsia"/>
                <w:color w:val="000000" w:themeColor="text1"/>
                <w:kern w:val="0"/>
                <w:sz w:val="20"/>
                <w:szCs w:val="21"/>
              </w:rPr>
              <w:t>三是</w:t>
            </w:r>
            <w:r>
              <w:rPr>
                <w:rFonts w:ascii="宋体" w:eastAsia="宋体" w:hAnsi="宋体" w:cs="宋体" w:hint="eastAsia"/>
                <w:bCs/>
                <w:color w:val="000000" w:themeColor="text1"/>
                <w:kern w:val="0"/>
                <w:sz w:val="20"/>
                <w:szCs w:val="21"/>
              </w:rPr>
              <w:t>增强忧患意识，健全核心区安全工作机制。</w:t>
            </w:r>
          </w:p>
          <w:p w:rsidR="00C53B24" w:rsidRDefault="00DF4761">
            <w:pPr>
              <w:widowControl/>
              <w:snapToGrid w:val="0"/>
              <w:spacing w:line="288" w:lineRule="auto"/>
              <w:ind w:firstLine="402"/>
              <w:rPr>
                <w:rFonts w:ascii="宋体" w:eastAsia="宋体" w:hAnsi="宋体" w:cs="宋体"/>
                <w:b/>
                <w:bCs/>
                <w:color w:val="000000" w:themeColor="text1"/>
                <w:kern w:val="0"/>
                <w:sz w:val="20"/>
                <w:szCs w:val="21"/>
              </w:rPr>
            </w:pPr>
            <w:r>
              <w:rPr>
                <w:rFonts w:ascii="宋体" w:eastAsia="宋体" w:hAnsi="宋体" w:cs="宋体" w:hint="eastAsia"/>
                <w:b/>
                <w:bCs/>
                <w:color w:val="000000" w:themeColor="text1"/>
                <w:kern w:val="0"/>
                <w:sz w:val="20"/>
                <w:szCs w:val="21"/>
              </w:rPr>
              <w:t>（五）坚持不懈改善民生，不断提高百姓生活品质</w:t>
            </w:r>
          </w:p>
          <w:p w:rsidR="00C53B24" w:rsidRDefault="00DF4761">
            <w:pPr>
              <w:widowControl/>
              <w:snapToGrid w:val="0"/>
              <w:spacing w:line="288" w:lineRule="auto"/>
              <w:ind w:firstLine="400"/>
              <w:rPr>
                <w:rFonts w:ascii="宋体" w:eastAsia="宋体" w:hAnsi="宋体" w:cs="宋体"/>
                <w:color w:val="000000" w:themeColor="text1"/>
                <w:kern w:val="0"/>
                <w:sz w:val="20"/>
                <w:szCs w:val="21"/>
              </w:rPr>
            </w:pPr>
            <w:r>
              <w:rPr>
                <w:rFonts w:ascii="宋体" w:eastAsia="宋体" w:hAnsi="宋体" w:cs="宋体" w:hint="eastAsia"/>
                <w:bCs/>
                <w:color w:val="000000" w:themeColor="text1"/>
                <w:kern w:val="0"/>
                <w:sz w:val="20"/>
                <w:szCs w:val="21"/>
              </w:rPr>
              <w:t>一是以发展为民为出发点，下好“稳”“保”关键棋。二是以服务为民为落脚点，争当便民利民排头兵。三是以文化惠民为着力点，开创百花齐放新局面。</w:t>
            </w:r>
          </w:p>
        </w:tc>
      </w:tr>
      <w:tr w:rsidR="00C53B24">
        <w:trPr>
          <w:trHeight w:val="555"/>
        </w:trPr>
        <w:tc>
          <w:tcPr>
            <w:tcW w:w="621" w:type="pct"/>
            <w:vMerge w:val="restar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绩效指标</w:t>
            </w:r>
          </w:p>
        </w:tc>
        <w:tc>
          <w:tcPr>
            <w:tcW w:w="709"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一级指标</w:t>
            </w: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二级指标</w:t>
            </w:r>
          </w:p>
        </w:tc>
        <w:tc>
          <w:tcPr>
            <w:tcW w:w="3103" w:type="pct"/>
            <w:gridSpan w:val="2"/>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具体指标（指标内容、指标值）</w:t>
            </w:r>
          </w:p>
        </w:tc>
      </w:tr>
      <w:tr w:rsidR="00C53B24">
        <w:trPr>
          <w:trHeight w:val="624"/>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restar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产出指标</w:t>
            </w:r>
            <w:proofErr w:type="gramStart"/>
            <w:r>
              <w:rPr>
                <w:rFonts w:asciiTheme="minorEastAsia" w:eastAsiaTheme="minorEastAsia" w:hAnsiTheme="minorEastAsia" w:cs="宋体" w:hint="eastAsia"/>
                <w:color w:val="000000" w:themeColor="text1"/>
                <w:kern w:val="0"/>
                <w:sz w:val="20"/>
                <w:szCs w:val="20"/>
              </w:rPr>
              <w:t>一</w:t>
            </w:r>
            <w:proofErr w:type="gramEnd"/>
            <w:r>
              <w:rPr>
                <w:rFonts w:asciiTheme="minorEastAsia" w:eastAsiaTheme="minorEastAsia" w:hAnsiTheme="minorEastAsia" w:cs="宋体" w:hint="eastAsia"/>
                <w:color w:val="000000" w:themeColor="text1"/>
                <w:kern w:val="0"/>
                <w:sz w:val="20"/>
                <w:szCs w:val="20"/>
              </w:rPr>
              <w:t>（城市管理和环境建设）</w:t>
            </w: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产出数量指标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抓好地区综合环境和街区提升工作，全力加速推进地区环境品质提升。开展街巷及胡同、楼宇外围保洁；负责居民生活垃圾及大件生活垃圾的清运、绿地卫生、重大活动期间主要大街应急无主渣土及大件废弃物的清运销纳以及铲冰扫雪、抢险救灾工作任务。聚焦打赢打好蓝天保卫战、碧水攻坚战、净土持久战，加大现场执法检查频次，</w:t>
            </w:r>
            <w:r>
              <w:rPr>
                <w:rFonts w:asciiTheme="minorEastAsia" w:eastAsiaTheme="minorEastAsia" w:hAnsiTheme="minorEastAsia" w:cs="宋体" w:hint="eastAsia"/>
                <w:color w:val="000000" w:themeColor="text1"/>
                <w:kern w:val="0"/>
                <w:sz w:val="20"/>
                <w:szCs w:val="20"/>
              </w:rPr>
              <w:lastRenderedPageBreak/>
              <w:t>以强有力的措施落实油烟排放、工地扬尘等污染源头监管治理。严格落实河长制，开展“清河行动”，实现“水岸共治</w:t>
            </w:r>
            <w:r>
              <w:rPr>
                <w:rFonts w:asciiTheme="minorEastAsia" w:eastAsiaTheme="minorEastAsia" w:hAnsiTheme="minorEastAsia" w:cs="宋体"/>
                <w:color w:val="000000" w:themeColor="text1"/>
                <w:kern w:val="0"/>
                <w:sz w:val="20"/>
                <w:szCs w:val="20"/>
              </w:rPr>
              <w:t>”</w:t>
            </w:r>
            <w:r>
              <w:rPr>
                <w:rFonts w:asciiTheme="minorEastAsia" w:eastAsiaTheme="minorEastAsia" w:hAnsiTheme="minorEastAsia" w:cs="宋体" w:hint="eastAsia"/>
                <w:color w:val="000000" w:themeColor="text1"/>
                <w:kern w:val="0"/>
                <w:sz w:val="20"/>
                <w:szCs w:val="20"/>
              </w:rPr>
              <w:t>。深化垃圾分类治理，推动实现空气、水、土质量持续改善。深化区域环境治理，强化街巷物业巡逻，消除街巷脏乱点，推进</w:t>
            </w:r>
            <w:r>
              <w:rPr>
                <w:rFonts w:asciiTheme="minorEastAsia" w:eastAsiaTheme="minorEastAsia" w:hAnsiTheme="minorEastAsia" w:cs="宋体" w:hint="eastAsia"/>
                <w:color w:val="000000" w:themeColor="text1"/>
                <w:kern w:val="0"/>
                <w:sz w:val="20"/>
                <w:szCs w:val="20"/>
              </w:rPr>
              <w:t>区域停车管理工作，重点做好百万庄地区环境整治提升工作。加大城管执法力度，保障地区经营有序开展。</w:t>
            </w:r>
          </w:p>
        </w:tc>
      </w:tr>
      <w:tr w:rsidR="00C53B24">
        <w:trPr>
          <w:trHeight w:val="3928"/>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产出质量指标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1</w:t>
            </w:r>
            <w:r>
              <w:rPr>
                <w:rFonts w:asciiTheme="minorEastAsia" w:eastAsiaTheme="minorEastAsia" w:hAnsiTheme="minorEastAsia" w:cs="宋体" w:hint="eastAsia"/>
                <w:color w:val="000000" w:themeColor="text1"/>
                <w:kern w:val="0"/>
                <w:sz w:val="20"/>
                <w:szCs w:val="20"/>
              </w:rPr>
              <w:t>、符合区</w:t>
            </w:r>
            <w:proofErr w:type="gramStart"/>
            <w:r>
              <w:rPr>
                <w:rFonts w:asciiTheme="minorEastAsia" w:eastAsiaTheme="minorEastAsia" w:hAnsiTheme="minorEastAsia" w:cs="宋体" w:hint="eastAsia"/>
                <w:color w:val="000000" w:themeColor="text1"/>
                <w:kern w:val="0"/>
                <w:sz w:val="20"/>
                <w:szCs w:val="20"/>
              </w:rPr>
              <w:t>拆违办要求</w:t>
            </w:r>
            <w:proofErr w:type="gramEnd"/>
            <w:r>
              <w:rPr>
                <w:rFonts w:asciiTheme="minorEastAsia" w:eastAsiaTheme="minorEastAsia" w:hAnsiTheme="minorEastAsia" w:cs="宋体" w:hint="eastAsia"/>
                <w:color w:val="000000" w:themeColor="text1"/>
                <w:kern w:val="0"/>
                <w:sz w:val="20"/>
                <w:szCs w:val="20"/>
              </w:rPr>
              <w:t>，确保新生违法建设“零增长”，帐内违法建设拆除率</w:t>
            </w:r>
            <w:r>
              <w:rPr>
                <w:rFonts w:asciiTheme="minorEastAsia" w:eastAsiaTheme="minorEastAsia" w:hAnsiTheme="minorEastAsia" w:cs="宋体" w:hint="eastAsia"/>
                <w:color w:val="000000" w:themeColor="text1"/>
                <w:kern w:val="0"/>
                <w:sz w:val="20"/>
                <w:szCs w:val="20"/>
              </w:rPr>
              <w:t>100%</w:t>
            </w:r>
            <w:r>
              <w:rPr>
                <w:rFonts w:asciiTheme="minorEastAsia" w:eastAsiaTheme="minorEastAsia" w:hAnsiTheme="minorEastAsia" w:cs="宋体" w:hint="eastAsia"/>
                <w:color w:val="000000" w:themeColor="text1"/>
                <w:kern w:val="0"/>
                <w:sz w:val="20"/>
                <w:szCs w:val="20"/>
              </w:rPr>
              <w:t>；</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2</w:t>
            </w:r>
            <w:r>
              <w:rPr>
                <w:rFonts w:asciiTheme="minorEastAsia" w:eastAsiaTheme="minorEastAsia" w:hAnsiTheme="minorEastAsia" w:cs="宋体" w:hint="eastAsia"/>
                <w:color w:val="000000" w:themeColor="text1"/>
                <w:kern w:val="0"/>
                <w:sz w:val="20"/>
                <w:szCs w:val="20"/>
              </w:rPr>
              <w:t>、按照《北京市市容环境卫生条例》城镇地区内市容环境卫生责任区标准以及工作要求开展脏乱点整治，逐步达到无违法建设、无环境死角、无暴露垃圾、无堆物堆料、无违规经营、无乱设广告牌匾“六无”标准；</w:t>
            </w:r>
            <w:r>
              <w:rPr>
                <w:rFonts w:asciiTheme="minorEastAsia" w:eastAsiaTheme="minorEastAsia" w:hAnsiTheme="minorEastAsia" w:cs="宋体"/>
                <w:color w:val="000000" w:themeColor="text1"/>
                <w:kern w:val="0"/>
                <w:sz w:val="20"/>
                <w:szCs w:val="20"/>
              </w:rPr>
              <w:t xml:space="preserve">   </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3</w:t>
            </w:r>
            <w:r>
              <w:rPr>
                <w:rFonts w:asciiTheme="minorEastAsia" w:eastAsiaTheme="minorEastAsia" w:hAnsiTheme="minorEastAsia" w:cs="宋体" w:hint="eastAsia"/>
                <w:color w:val="000000" w:themeColor="text1"/>
                <w:kern w:val="0"/>
                <w:sz w:val="20"/>
                <w:szCs w:val="20"/>
              </w:rPr>
              <w:t>、在地区推广垃圾分类收集、运输和处理工作，提高居民垃圾分类的参与率、培养</w:t>
            </w:r>
            <w:proofErr w:type="gramStart"/>
            <w:r>
              <w:rPr>
                <w:rFonts w:asciiTheme="minorEastAsia" w:eastAsiaTheme="minorEastAsia" w:hAnsiTheme="minorEastAsia" w:cs="宋体" w:hint="eastAsia"/>
                <w:color w:val="000000" w:themeColor="text1"/>
                <w:kern w:val="0"/>
                <w:sz w:val="20"/>
                <w:szCs w:val="20"/>
              </w:rPr>
              <w:t>厨余垃圾</w:t>
            </w:r>
            <w:proofErr w:type="gramEnd"/>
            <w:r>
              <w:rPr>
                <w:rFonts w:asciiTheme="minorEastAsia" w:eastAsiaTheme="minorEastAsia" w:hAnsiTheme="minorEastAsia" w:cs="宋体" w:hint="eastAsia"/>
                <w:color w:val="000000" w:themeColor="text1"/>
                <w:kern w:val="0"/>
                <w:sz w:val="20"/>
                <w:szCs w:val="20"/>
              </w:rPr>
              <w:t>的正确投放率，推进生活垃圾减量化、资源化、无害化；</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color w:val="000000" w:themeColor="text1"/>
                <w:kern w:val="0"/>
                <w:sz w:val="20"/>
                <w:szCs w:val="20"/>
              </w:rPr>
              <w:t xml:space="preserve"> </w:t>
            </w:r>
            <w:r>
              <w:rPr>
                <w:rFonts w:asciiTheme="minorEastAsia" w:eastAsiaTheme="minorEastAsia" w:hAnsiTheme="minorEastAsia" w:cs="宋体" w:hint="eastAsia"/>
                <w:color w:val="000000" w:themeColor="text1"/>
                <w:kern w:val="0"/>
                <w:sz w:val="20"/>
                <w:szCs w:val="20"/>
              </w:rPr>
              <w:t>4</w:t>
            </w:r>
            <w:r>
              <w:rPr>
                <w:rFonts w:asciiTheme="minorEastAsia" w:eastAsiaTheme="minorEastAsia" w:hAnsiTheme="minorEastAsia" w:cs="宋体" w:hint="eastAsia"/>
                <w:color w:val="000000" w:themeColor="text1"/>
                <w:kern w:val="0"/>
                <w:sz w:val="20"/>
                <w:szCs w:val="20"/>
              </w:rPr>
              <w:t>、绿化养护按照《北京市绿化养护质量标准》执行，主要达到园林绿化无缺苗、死苗现象，苗木存活率达到</w:t>
            </w:r>
            <w:r>
              <w:rPr>
                <w:rFonts w:asciiTheme="minorEastAsia" w:eastAsiaTheme="minorEastAsia" w:hAnsiTheme="minorEastAsia" w:cs="宋体" w:hint="eastAsia"/>
                <w:color w:val="000000" w:themeColor="text1"/>
                <w:kern w:val="0"/>
                <w:sz w:val="20"/>
                <w:szCs w:val="20"/>
              </w:rPr>
              <w:t>95%</w:t>
            </w:r>
            <w:r>
              <w:rPr>
                <w:rFonts w:asciiTheme="minorEastAsia" w:eastAsiaTheme="minorEastAsia" w:hAnsiTheme="minorEastAsia" w:cs="宋体" w:hint="eastAsia"/>
                <w:color w:val="000000" w:themeColor="text1"/>
                <w:kern w:val="0"/>
                <w:sz w:val="20"/>
                <w:szCs w:val="20"/>
              </w:rPr>
              <w:t>以上；</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5</w:t>
            </w:r>
            <w:r>
              <w:rPr>
                <w:rFonts w:asciiTheme="minorEastAsia" w:eastAsiaTheme="minorEastAsia" w:hAnsiTheme="minorEastAsia" w:cs="宋体" w:hint="eastAsia"/>
                <w:color w:val="000000" w:themeColor="text1"/>
                <w:kern w:val="0"/>
                <w:sz w:val="20"/>
                <w:szCs w:val="20"/>
              </w:rPr>
              <w:t>、对新生违法建设零容忍，加强界面环境管理力度。</w:t>
            </w:r>
            <w:r>
              <w:rPr>
                <w:rFonts w:asciiTheme="minorEastAsia" w:eastAsiaTheme="minorEastAsia" w:hAnsiTheme="minorEastAsia" w:cs="宋体" w:hint="eastAsia"/>
                <w:color w:val="000000" w:themeColor="text1"/>
                <w:kern w:val="0"/>
                <w:sz w:val="20"/>
                <w:szCs w:val="20"/>
              </w:rPr>
              <w:t xml:space="preserve"> </w:t>
            </w:r>
          </w:p>
        </w:tc>
      </w:tr>
      <w:tr w:rsidR="00C53B24">
        <w:trPr>
          <w:trHeight w:val="794"/>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产出进度指标</w:t>
            </w:r>
          </w:p>
        </w:tc>
        <w:tc>
          <w:tcPr>
            <w:tcW w:w="3103" w:type="pct"/>
            <w:gridSpan w:val="2"/>
            <w:shd w:val="clear" w:color="auto" w:fill="auto"/>
            <w:vAlign w:val="center"/>
          </w:tcPr>
          <w:p w:rsidR="00C53B24" w:rsidRDefault="00DF4761">
            <w:pPr>
              <w:widowControl/>
              <w:snapToGrid w:val="0"/>
              <w:spacing w:line="288" w:lineRule="auto"/>
              <w:ind w:leftChars="46" w:left="129" w:firstLineChars="135" w:firstLine="27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1</w:t>
            </w:r>
            <w:r>
              <w:rPr>
                <w:rFonts w:asciiTheme="minorEastAsia" w:eastAsiaTheme="minorEastAsia" w:hAnsiTheme="minorEastAsia" w:cs="宋体" w:hint="eastAsia"/>
                <w:color w:val="000000" w:themeColor="text1"/>
                <w:kern w:val="0"/>
                <w:sz w:val="20"/>
                <w:szCs w:val="20"/>
              </w:rPr>
              <w:t>、常规工作内容按照年度工作计划安排的进度完成；</w:t>
            </w:r>
          </w:p>
          <w:p w:rsidR="00C53B24" w:rsidRDefault="00DF4761">
            <w:pPr>
              <w:widowControl/>
              <w:snapToGrid w:val="0"/>
              <w:spacing w:line="288" w:lineRule="auto"/>
              <w:ind w:firstLineChars="196" w:firstLine="392"/>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2</w:t>
            </w:r>
            <w:r>
              <w:rPr>
                <w:rFonts w:asciiTheme="minorEastAsia" w:eastAsiaTheme="minorEastAsia" w:hAnsiTheme="minorEastAsia" w:cs="宋体" w:hint="eastAsia"/>
                <w:color w:val="000000" w:themeColor="text1"/>
                <w:kern w:val="0"/>
                <w:sz w:val="20"/>
                <w:szCs w:val="20"/>
              </w:rPr>
              <w:t>、突发性或临时性工作目标按照相关部门要求及时完成。</w:t>
            </w:r>
          </w:p>
        </w:tc>
      </w:tr>
      <w:tr w:rsidR="00C53B24">
        <w:trPr>
          <w:trHeight w:val="766"/>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产出成本指标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城市管理和环境建设工作成本控制在</w:t>
            </w:r>
            <w:r>
              <w:rPr>
                <w:rFonts w:asciiTheme="minorEastAsia" w:eastAsiaTheme="minorEastAsia" w:hAnsiTheme="minorEastAsia" w:cs="宋体" w:hint="eastAsia"/>
                <w:color w:val="000000" w:themeColor="text1"/>
                <w:kern w:val="0"/>
                <w:sz w:val="20"/>
                <w:szCs w:val="20"/>
              </w:rPr>
              <w:t>6416.19</w:t>
            </w:r>
            <w:r>
              <w:rPr>
                <w:rFonts w:asciiTheme="minorEastAsia" w:eastAsiaTheme="minorEastAsia" w:hAnsiTheme="minorEastAsia" w:cs="宋体" w:hint="eastAsia"/>
                <w:color w:val="000000" w:themeColor="text1"/>
                <w:kern w:val="0"/>
                <w:sz w:val="20"/>
                <w:szCs w:val="20"/>
              </w:rPr>
              <w:t>万元之内，占全年项目支出总额的</w:t>
            </w:r>
            <w:r>
              <w:rPr>
                <w:rFonts w:asciiTheme="minorEastAsia" w:eastAsiaTheme="minorEastAsia" w:hAnsiTheme="minorEastAsia" w:cs="宋体" w:hint="eastAsia"/>
                <w:color w:val="000000" w:themeColor="text1"/>
                <w:kern w:val="0"/>
                <w:sz w:val="20"/>
                <w:szCs w:val="20"/>
              </w:rPr>
              <w:t>20.73%</w:t>
            </w:r>
            <w:r>
              <w:rPr>
                <w:rFonts w:asciiTheme="minorEastAsia" w:eastAsiaTheme="minorEastAsia" w:hAnsiTheme="minorEastAsia" w:cs="宋体" w:hint="eastAsia"/>
                <w:color w:val="000000" w:themeColor="text1"/>
                <w:kern w:val="0"/>
                <w:sz w:val="20"/>
                <w:szCs w:val="20"/>
              </w:rPr>
              <w:t>。</w:t>
            </w:r>
            <w:r>
              <w:rPr>
                <w:rFonts w:asciiTheme="minorEastAsia" w:eastAsiaTheme="minorEastAsia" w:hAnsiTheme="minorEastAsia" w:cs="宋体"/>
                <w:color w:val="000000" w:themeColor="text1"/>
                <w:kern w:val="0"/>
                <w:sz w:val="20"/>
                <w:szCs w:val="20"/>
              </w:rPr>
              <w:t xml:space="preserve"> </w:t>
            </w:r>
          </w:p>
        </w:tc>
      </w:tr>
      <w:tr w:rsidR="00C53B24">
        <w:trPr>
          <w:trHeight w:val="1408"/>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restar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产出指标二</w:t>
            </w:r>
            <w:r>
              <w:rPr>
                <w:rFonts w:asciiTheme="minorEastAsia" w:eastAsiaTheme="minorEastAsia" w:hAnsiTheme="minorEastAsia" w:cs="宋体" w:hint="eastAsia"/>
                <w:color w:val="000000" w:themeColor="text1"/>
                <w:kern w:val="0"/>
                <w:sz w:val="20"/>
                <w:szCs w:val="20"/>
              </w:rPr>
              <w:t>(</w:t>
            </w:r>
            <w:r>
              <w:rPr>
                <w:rFonts w:asciiTheme="minorEastAsia" w:eastAsiaTheme="minorEastAsia" w:hAnsiTheme="minorEastAsia" w:cs="宋体" w:hint="eastAsia"/>
                <w:color w:val="000000" w:themeColor="text1"/>
                <w:kern w:val="0"/>
                <w:sz w:val="20"/>
                <w:szCs w:val="20"/>
              </w:rPr>
              <w:t>民生服务和保障</w:t>
            </w:r>
            <w:r>
              <w:rPr>
                <w:rFonts w:asciiTheme="minorEastAsia" w:eastAsiaTheme="minorEastAsia" w:hAnsiTheme="minorEastAsia" w:cs="宋体" w:hint="eastAsia"/>
                <w:color w:val="000000" w:themeColor="text1"/>
                <w:kern w:val="0"/>
                <w:sz w:val="20"/>
                <w:szCs w:val="20"/>
              </w:rPr>
              <w:t>)</w:t>
            </w: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产出数量指标</w:t>
            </w:r>
          </w:p>
        </w:tc>
        <w:tc>
          <w:tcPr>
            <w:tcW w:w="3103" w:type="pct"/>
            <w:gridSpan w:val="2"/>
            <w:shd w:val="clear" w:color="auto" w:fill="auto"/>
            <w:vAlign w:val="center"/>
          </w:tcPr>
          <w:p w:rsidR="00C53B24" w:rsidRDefault="00DF4761">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 xml:space="preserve"> </w:t>
            </w:r>
            <w:r>
              <w:rPr>
                <w:rFonts w:asciiTheme="minorEastAsia" w:eastAsiaTheme="minorEastAsia" w:hAnsiTheme="minorEastAsia" w:cs="宋体"/>
                <w:color w:val="000000" w:themeColor="text1"/>
                <w:kern w:val="0"/>
                <w:sz w:val="20"/>
                <w:szCs w:val="20"/>
              </w:rPr>
              <w:t xml:space="preserve">   </w:t>
            </w:r>
            <w:r>
              <w:rPr>
                <w:rFonts w:asciiTheme="minorEastAsia" w:eastAsiaTheme="minorEastAsia" w:hAnsiTheme="minorEastAsia" w:cs="宋体" w:hint="eastAsia"/>
                <w:color w:val="000000" w:themeColor="text1"/>
                <w:kern w:val="0"/>
                <w:sz w:val="20"/>
                <w:szCs w:val="20"/>
              </w:rPr>
              <w:t>1</w:t>
            </w:r>
            <w:r>
              <w:rPr>
                <w:rFonts w:asciiTheme="minorEastAsia" w:eastAsiaTheme="minorEastAsia" w:hAnsiTheme="minorEastAsia" w:cs="宋体" w:hint="eastAsia"/>
                <w:color w:val="000000" w:themeColor="text1"/>
                <w:kern w:val="0"/>
                <w:sz w:val="20"/>
                <w:szCs w:val="20"/>
              </w:rPr>
              <w:t>、保障困难群体基本生活，确保惠民政策及时到位。</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2</w:t>
            </w:r>
            <w:r>
              <w:rPr>
                <w:rFonts w:asciiTheme="minorEastAsia" w:eastAsiaTheme="minorEastAsia" w:hAnsiTheme="minorEastAsia" w:cs="宋体" w:hint="eastAsia"/>
                <w:color w:val="000000" w:themeColor="text1"/>
                <w:kern w:val="0"/>
                <w:sz w:val="20"/>
                <w:szCs w:val="20"/>
              </w:rPr>
              <w:t>、落实优待抚恤政策，双拥共建促进军民团结。</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3</w:t>
            </w:r>
            <w:r>
              <w:rPr>
                <w:rFonts w:asciiTheme="minorEastAsia" w:eastAsiaTheme="minorEastAsia" w:hAnsiTheme="minorEastAsia" w:cs="宋体" w:hint="eastAsia"/>
                <w:color w:val="000000" w:themeColor="text1"/>
                <w:kern w:val="0"/>
                <w:sz w:val="20"/>
                <w:szCs w:val="20"/>
              </w:rPr>
              <w:t>、落实生育政策，做好计生宣传，针对不同人群开展服务。</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4</w:t>
            </w:r>
            <w:r>
              <w:rPr>
                <w:rFonts w:asciiTheme="minorEastAsia" w:eastAsiaTheme="minorEastAsia" w:hAnsiTheme="minorEastAsia" w:cs="宋体" w:hint="eastAsia"/>
                <w:color w:val="000000" w:themeColor="text1"/>
                <w:kern w:val="0"/>
                <w:sz w:val="20"/>
                <w:szCs w:val="20"/>
              </w:rPr>
              <w:t>、做好为老服务工作。</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5</w:t>
            </w:r>
            <w:r>
              <w:rPr>
                <w:rFonts w:asciiTheme="minorEastAsia" w:eastAsiaTheme="minorEastAsia" w:hAnsiTheme="minorEastAsia" w:cs="宋体" w:hint="eastAsia"/>
                <w:color w:val="000000" w:themeColor="text1"/>
                <w:kern w:val="0"/>
                <w:sz w:val="20"/>
                <w:szCs w:val="20"/>
              </w:rPr>
              <w:t>、保证街道负担民政、优抚人员生活，包括军队移交地方政府退休人员、义务兵、烈属遗属等。</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6</w:t>
            </w:r>
            <w:r>
              <w:rPr>
                <w:rFonts w:asciiTheme="minorEastAsia" w:eastAsiaTheme="minorEastAsia" w:hAnsiTheme="minorEastAsia" w:cs="宋体" w:hint="eastAsia"/>
                <w:color w:val="000000" w:themeColor="text1"/>
                <w:kern w:val="0"/>
                <w:sz w:val="20"/>
                <w:szCs w:val="20"/>
              </w:rPr>
              <w:t>、落实再就业政策，精细</w:t>
            </w:r>
            <w:proofErr w:type="gramStart"/>
            <w:r>
              <w:rPr>
                <w:rFonts w:asciiTheme="minorEastAsia" w:eastAsiaTheme="minorEastAsia" w:hAnsiTheme="minorEastAsia" w:cs="宋体" w:hint="eastAsia"/>
                <w:color w:val="000000" w:themeColor="text1"/>
                <w:kern w:val="0"/>
                <w:sz w:val="20"/>
                <w:szCs w:val="20"/>
              </w:rPr>
              <w:t>化帮助</w:t>
            </w:r>
            <w:proofErr w:type="gramEnd"/>
            <w:r>
              <w:rPr>
                <w:rFonts w:asciiTheme="minorEastAsia" w:eastAsiaTheme="minorEastAsia" w:hAnsiTheme="minorEastAsia" w:cs="宋体" w:hint="eastAsia"/>
                <w:color w:val="000000" w:themeColor="text1"/>
                <w:kern w:val="0"/>
                <w:sz w:val="20"/>
                <w:szCs w:val="20"/>
              </w:rPr>
              <w:t>就业困难人员实现再就业。</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7</w:t>
            </w:r>
            <w:r>
              <w:rPr>
                <w:rFonts w:asciiTheme="minorEastAsia" w:eastAsiaTheme="minorEastAsia" w:hAnsiTheme="minorEastAsia" w:cs="宋体" w:hint="eastAsia"/>
                <w:color w:val="000000" w:themeColor="text1"/>
                <w:kern w:val="0"/>
                <w:sz w:val="20"/>
                <w:szCs w:val="20"/>
              </w:rPr>
              <w:t>、</w:t>
            </w:r>
            <w:proofErr w:type="gramStart"/>
            <w:r>
              <w:rPr>
                <w:rFonts w:asciiTheme="minorEastAsia" w:eastAsiaTheme="minorEastAsia" w:hAnsiTheme="minorEastAsia" w:cs="宋体" w:hint="eastAsia"/>
                <w:color w:val="000000" w:themeColor="text1"/>
                <w:kern w:val="0"/>
                <w:sz w:val="20"/>
                <w:szCs w:val="20"/>
              </w:rPr>
              <w:t>对低保低收入</w:t>
            </w:r>
            <w:proofErr w:type="gramEnd"/>
            <w:r>
              <w:rPr>
                <w:rFonts w:asciiTheme="minorEastAsia" w:eastAsiaTheme="minorEastAsia" w:hAnsiTheme="minorEastAsia" w:cs="宋体" w:hint="eastAsia"/>
                <w:color w:val="000000" w:themeColor="text1"/>
                <w:kern w:val="0"/>
                <w:sz w:val="20"/>
                <w:szCs w:val="20"/>
              </w:rPr>
              <w:t>人群及临时困难人员进行保障。</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8</w:t>
            </w:r>
            <w:r>
              <w:rPr>
                <w:rFonts w:asciiTheme="minorEastAsia" w:eastAsiaTheme="minorEastAsia" w:hAnsiTheme="minorEastAsia" w:cs="宋体" w:hint="eastAsia"/>
                <w:color w:val="000000" w:themeColor="text1"/>
                <w:kern w:val="0"/>
                <w:sz w:val="20"/>
                <w:szCs w:val="20"/>
              </w:rPr>
              <w:t>、对社会化退休及宣传保障房政策，对申请进行受理审核及公示，对</w:t>
            </w:r>
            <w:r>
              <w:rPr>
                <w:rFonts w:asciiTheme="minorEastAsia" w:eastAsiaTheme="minorEastAsia" w:hAnsiTheme="minorEastAsia" w:cs="宋体" w:hint="eastAsia"/>
                <w:color w:val="000000" w:themeColor="text1"/>
                <w:kern w:val="0"/>
                <w:sz w:val="20"/>
                <w:szCs w:val="20"/>
              </w:rPr>
              <w:t>3</w:t>
            </w:r>
            <w:r>
              <w:rPr>
                <w:rFonts w:asciiTheme="minorEastAsia" w:eastAsiaTheme="minorEastAsia" w:hAnsiTheme="minorEastAsia" w:cs="宋体" w:hint="eastAsia"/>
                <w:color w:val="000000" w:themeColor="text1"/>
                <w:kern w:val="0"/>
                <w:sz w:val="20"/>
                <w:szCs w:val="20"/>
              </w:rPr>
              <w:t>类保障房申请家庭进行资格复核，开展跨区协查。</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9</w:t>
            </w:r>
            <w:r>
              <w:rPr>
                <w:rFonts w:asciiTheme="minorEastAsia" w:eastAsiaTheme="minorEastAsia" w:hAnsiTheme="minorEastAsia" w:cs="宋体" w:hint="eastAsia"/>
                <w:color w:val="000000" w:themeColor="text1"/>
                <w:kern w:val="0"/>
                <w:sz w:val="20"/>
                <w:szCs w:val="20"/>
              </w:rPr>
              <w:t>、推进公益性就业服务，开展就业培训，搭建现实岗位供需平台。</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10</w:t>
            </w:r>
            <w:r>
              <w:rPr>
                <w:rFonts w:asciiTheme="minorEastAsia" w:eastAsiaTheme="minorEastAsia" w:hAnsiTheme="minorEastAsia" w:cs="宋体" w:hint="eastAsia"/>
                <w:color w:val="000000" w:themeColor="text1"/>
                <w:kern w:val="0"/>
                <w:sz w:val="20"/>
                <w:szCs w:val="20"/>
              </w:rPr>
              <w:t>、发展残疾人事业，开展多样服务。</w:t>
            </w:r>
          </w:p>
        </w:tc>
      </w:tr>
      <w:tr w:rsidR="00C53B24">
        <w:trPr>
          <w:trHeight w:val="680"/>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产出质量指标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严格按照各项政策标准执行。</w:t>
            </w:r>
          </w:p>
        </w:tc>
      </w:tr>
      <w:tr w:rsidR="00C53B24">
        <w:trPr>
          <w:trHeight w:val="699"/>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产出进度指标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按照年度工作计划进度安排及相关政策文件要求及时完成。</w:t>
            </w:r>
          </w:p>
        </w:tc>
      </w:tr>
      <w:tr w:rsidR="00C53B24">
        <w:trPr>
          <w:trHeight w:val="930"/>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产出成本指标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民生服务和保障工作成本控制在</w:t>
            </w:r>
            <w:r>
              <w:rPr>
                <w:rFonts w:asciiTheme="minorEastAsia" w:eastAsiaTheme="minorEastAsia" w:hAnsiTheme="minorEastAsia" w:cs="宋体" w:hint="eastAsia"/>
                <w:color w:val="000000" w:themeColor="text1"/>
                <w:kern w:val="0"/>
                <w:sz w:val="20"/>
                <w:szCs w:val="20"/>
              </w:rPr>
              <w:t>5338.97</w:t>
            </w:r>
            <w:r>
              <w:rPr>
                <w:rFonts w:asciiTheme="minorEastAsia" w:eastAsiaTheme="minorEastAsia" w:hAnsiTheme="minorEastAsia" w:cs="宋体" w:hint="eastAsia"/>
                <w:color w:val="000000" w:themeColor="text1"/>
                <w:kern w:val="0"/>
                <w:sz w:val="20"/>
                <w:szCs w:val="20"/>
              </w:rPr>
              <w:t>万元之内，占全年项目支出总额的</w:t>
            </w:r>
            <w:r>
              <w:rPr>
                <w:rFonts w:asciiTheme="minorEastAsia" w:eastAsiaTheme="minorEastAsia" w:hAnsiTheme="minorEastAsia" w:cs="宋体" w:hint="eastAsia"/>
                <w:color w:val="000000" w:themeColor="text1"/>
                <w:kern w:val="0"/>
                <w:sz w:val="20"/>
                <w:szCs w:val="20"/>
              </w:rPr>
              <w:t>17.25%</w:t>
            </w:r>
            <w:r>
              <w:rPr>
                <w:rFonts w:asciiTheme="minorEastAsia" w:eastAsiaTheme="minorEastAsia" w:hAnsiTheme="minorEastAsia" w:cs="宋体" w:hint="eastAsia"/>
                <w:color w:val="000000" w:themeColor="text1"/>
                <w:kern w:val="0"/>
                <w:sz w:val="20"/>
                <w:szCs w:val="20"/>
              </w:rPr>
              <w:t>。</w:t>
            </w:r>
          </w:p>
        </w:tc>
      </w:tr>
      <w:tr w:rsidR="00C53B24">
        <w:trPr>
          <w:trHeight w:val="4864"/>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restar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产出指标三</w:t>
            </w:r>
            <w:r>
              <w:rPr>
                <w:rFonts w:asciiTheme="minorEastAsia" w:eastAsiaTheme="minorEastAsia" w:hAnsiTheme="minorEastAsia" w:cs="宋体" w:hint="eastAsia"/>
                <w:color w:val="000000" w:themeColor="text1"/>
                <w:kern w:val="0"/>
                <w:sz w:val="20"/>
                <w:szCs w:val="20"/>
              </w:rPr>
              <w:br/>
            </w:r>
            <w:r>
              <w:rPr>
                <w:rFonts w:asciiTheme="minorEastAsia" w:eastAsiaTheme="minorEastAsia" w:hAnsiTheme="minorEastAsia" w:cs="宋体" w:hint="eastAsia"/>
                <w:color w:val="000000" w:themeColor="text1"/>
                <w:kern w:val="0"/>
                <w:sz w:val="20"/>
                <w:szCs w:val="20"/>
              </w:rPr>
              <w:t>(</w:t>
            </w:r>
            <w:r>
              <w:rPr>
                <w:rFonts w:asciiTheme="minorEastAsia" w:eastAsiaTheme="minorEastAsia" w:hAnsiTheme="minorEastAsia" w:cs="宋体" w:hint="eastAsia"/>
                <w:color w:val="000000" w:themeColor="text1"/>
                <w:kern w:val="0"/>
                <w:sz w:val="20"/>
                <w:szCs w:val="20"/>
              </w:rPr>
              <w:t>社区建设</w:t>
            </w:r>
            <w:r>
              <w:rPr>
                <w:rFonts w:asciiTheme="minorEastAsia" w:eastAsiaTheme="minorEastAsia" w:hAnsiTheme="minorEastAsia" w:cs="宋体" w:hint="eastAsia"/>
                <w:color w:val="000000" w:themeColor="text1"/>
                <w:kern w:val="0"/>
                <w:sz w:val="20"/>
                <w:szCs w:val="20"/>
              </w:rPr>
              <w:t>)</w:t>
            </w: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产出数量指标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1</w:t>
            </w:r>
            <w:r>
              <w:rPr>
                <w:rFonts w:asciiTheme="minorEastAsia" w:eastAsiaTheme="minorEastAsia" w:hAnsiTheme="minorEastAsia" w:cs="宋体" w:hint="eastAsia"/>
                <w:color w:val="000000" w:themeColor="text1"/>
                <w:kern w:val="0"/>
                <w:sz w:val="20"/>
                <w:szCs w:val="20"/>
              </w:rPr>
              <w:t>、切实保障社区的工作经费、人员管理以及服务设施和社区规范化建设等，人均为</w:t>
            </w:r>
            <w:r>
              <w:rPr>
                <w:rFonts w:asciiTheme="minorEastAsia" w:eastAsiaTheme="minorEastAsia" w:hAnsiTheme="minorEastAsia" w:cs="宋体" w:hint="eastAsia"/>
                <w:color w:val="000000" w:themeColor="text1"/>
                <w:kern w:val="0"/>
                <w:sz w:val="20"/>
                <w:szCs w:val="20"/>
              </w:rPr>
              <w:t>7</w:t>
            </w:r>
            <w:r>
              <w:rPr>
                <w:rFonts w:asciiTheme="minorEastAsia" w:eastAsiaTheme="minorEastAsia" w:hAnsiTheme="minorEastAsia" w:cs="宋体" w:hint="eastAsia"/>
                <w:color w:val="000000" w:themeColor="text1"/>
                <w:kern w:val="0"/>
                <w:sz w:val="20"/>
                <w:szCs w:val="20"/>
              </w:rPr>
              <w:t>元测算拨付</w:t>
            </w:r>
            <w:r>
              <w:rPr>
                <w:rFonts w:asciiTheme="minorEastAsia" w:eastAsiaTheme="minorEastAsia" w:hAnsiTheme="minorEastAsia" w:cs="宋体" w:hint="eastAsia"/>
                <w:color w:val="000000" w:themeColor="text1"/>
                <w:kern w:val="0"/>
                <w:sz w:val="20"/>
                <w:szCs w:val="20"/>
              </w:rPr>
              <w:t>.</w:t>
            </w:r>
          </w:p>
          <w:p w:rsidR="00C53B24" w:rsidRPr="00DF4761"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2</w:t>
            </w:r>
            <w:r>
              <w:rPr>
                <w:rFonts w:asciiTheme="minorEastAsia" w:eastAsiaTheme="minorEastAsia" w:hAnsiTheme="minorEastAsia" w:cs="宋体" w:hint="eastAsia"/>
                <w:color w:val="000000" w:themeColor="text1"/>
                <w:kern w:val="0"/>
                <w:sz w:val="20"/>
                <w:szCs w:val="20"/>
              </w:rPr>
              <w:t>、高度重视社区居民代表大会的召开，不断扩大居民代表大会决策和监督的内容，发挥居民代表大会的作用</w:t>
            </w:r>
            <w:r>
              <w:rPr>
                <w:rFonts w:asciiTheme="minorEastAsia" w:eastAsiaTheme="minorEastAsia" w:hAnsiTheme="minorEastAsia" w:cs="宋体" w:hint="eastAsia"/>
                <w:color w:val="000000" w:themeColor="text1"/>
                <w:kern w:val="0"/>
                <w:sz w:val="20"/>
                <w:szCs w:val="20"/>
              </w:rPr>
              <w:t>。</w:t>
            </w:r>
            <w:r w:rsidRPr="00DF4761">
              <w:rPr>
                <w:rFonts w:asciiTheme="minorEastAsia" w:eastAsiaTheme="minorEastAsia" w:hAnsiTheme="minorEastAsia" w:cs="宋体" w:hint="eastAsia"/>
                <w:color w:val="000000" w:themeColor="text1"/>
                <w:kern w:val="0"/>
                <w:sz w:val="20"/>
                <w:szCs w:val="20"/>
              </w:rPr>
              <w:t>做好社区居委会换届工作。</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3</w:t>
            </w:r>
            <w:r>
              <w:rPr>
                <w:rFonts w:asciiTheme="minorEastAsia" w:eastAsiaTheme="minorEastAsia" w:hAnsiTheme="minorEastAsia" w:cs="宋体" w:hint="eastAsia"/>
                <w:color w:val="000000" w:themeColor="text1"/>
                <w:kern w:val="0"/>
                <w:sz w:val="20"/>
                <w:szCs w:val="20"/>
              </w:rPr>
              <w:t>、通过与人事机构的合作，签订人事代理协议，为社工提供专业的人事代理服务，具体为</w:t>
            </w:r>
            <w:r>
              <w:rPr>
                <w:rFonts w:asciiTheme="minorEastAsia" w:eastAsiaTheme="minorEastAsia" w:hAnsiTheme="minorEastAsia" w:cs="宋体" w:hint="eastAsia"/>
                <w:color w:val="000000" w:themeColor="text1"/>
                <w:kern w:val="0"/>
                <w:sz w:val="20"/>
                <w:szCs w:val="20"/>
              </w:rPr>
              <w:t>50</w:t>
            </w:r>
            <w:r>
              <w:rPr>
                <w:rFonts w:asciiTheme="minorEastAsia" w:eastAsiaTheme="minorEastAsia" w:hAnsiTheme="minorEastAsia" w:cs="宋体" w:hint="eastAsia"/>
                <w:color w:val="000000" w:themeColor="text1"/>
                <w:kern w:val="0"/>
                <w:sz w:val="20"/>
                <w:szCs w:val="20"/>
              </w:rPr>
              <w:t>元</w:t>
            </w:r>
            <w:r>
              <w:rPr>
                <w:rFonts w:asciiTheme="minorEastAsia" w:eastAsiaTheme="minorEastAsia" w:hAnsiTheme="minorEastAsia" w:cs="宋体" w:hint="eastAsia"/>
                <w:color w:val="000000" w:themeColor="text1"/>
                <w:kern w:val="0"/>
                <w:sz w:val="20"/>
                <w:szCs w:val="20"/>
              </w:rPr>
              <w:t>/</w:t>
            </w:r>
            <w:r>
              <w:rPr>
                <w:rFonts w:asciiTheme="minorEastAsia" w:eastAsiaTheme="minorEastAsia" w:hAnsiTheme="minorEastAsia" w:cs="宋体" w:hint="eastAsia"/>
                <w:color w:val="000000" w:themeColor="text1"/>
                <w:kern w:val="0"/>
                <w:sz w:val="20"/>
                <w:szCs w:val="20"/>
              </w:rPr>
              <w:t>人</w:t>
            </w:r>
            <w:r>
              <w:rPr>
                <w:rFonts w:asciiTheme="minorEastAsia" w:eastAsiaTheme="minorEastAsia" w:hAnsiTheme="minorEastAsia" w:cs="宋体" w:hint="eastAsia"/>
                <w:color w:val="000000" w:themeColor="text1"/>
                <w:kern w:val="0"/>
                <w:sz w:val="20"/>
                <w:szCs w:val="20"/>
              </w:rPr>
              <w:t>/</w:t>
            </w:r>
            <w:r>
              <w:rPr>
                <w:rFonts w:asciiTheme="minorEastAsia" w:eastAsiaTheme="minorEastAsia" w:hAnsiTheme="minorEastAsia" w:cs="宋体" w:hint="eastAsia"/>
                <w:color w:val="000000" w:themeColor="text1"/>
                <w:kern w:val="0"/>
                <w:sz w:val="20"/>
                <w:szCs w:val="20"/>
              </w:rPr>
              <w:t>月，按照季度支付。</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4</w:t>
            </w:r>
            <w:r>
              <w:rPr>
                <w:rFonts w:asciiTheme="minorEastAsia" w:eastAsiaTheme="minorEastAsia" w:hAnsiTheme="minorEastAsia" w:cs="宋体" w:hint="eastAsia"/>
                <w:color w:val="000000" w:themeColor="text1"/>
                <w:kern w:val="0"/>
                <w:sz w:val="20"/>
                <w:szCs w:val="20"/>
              </w:rPr>
              <w:t>、据《北京市民政局关于做好重大节日退离居委会老积极分子走访慰问工作的通知》（</w:t>
            </w:r>
            <w:proofErr w:type="gramStart"/>
            <w:r>
              <w:rPr>
                <w:rFonts w:asciiTheme="minorEastAsia" w:eastAsiaTheme="minorEastAsia" w:hAnsiTheme="minorEastAsia" w:cs="宋体" w:hint="eastAsia"/>
                <w:color w:val="000000" w:themeColor="text1"/>
                <w:kern w:val="0"/>
                <w:sz w:val="20"/>
                <w:szCs w:val="20"/>
              </w:rPr>
              <w:t>京民基发</w:t>
            </w:r>
            <w:proofErr w:type="gramEnd"/>
            <w:r>
              <w:rPr>
                <w:rFonts w:asciiTheme="minorEastAsia" w:eastAsiaTheme="minorEastAsia" w:hAnsiTheme="minorEastAsia" w:cs="宋体" w:hint="eastAsia"/>
                <w:color w:val="000000" w:themeColor="text1"/>
                <w:kern w:val="0"/>
                <w:sz w:val="20"/>
                <w:szCs w:val="20"/>
              </w:rPr>
              <w:t>〔</w:t>
            </w:r>
            <w:r>
              <w:rPr>
                <w:rFonts w:asciiTheme="minorEastAsia" w:eastAsiaTheme="minorEastAsia" w:hAnsiTheme="minorEastAsia" w:cs="宋体" w:hint="eastAsia"/>
                <w:color w:val="000000" w:themeColor="text1"/>
                <w:kern w:val="0"/>
                <w:sz w:val="20"/>
                <w:szCs w:val="20"/>
              </w:rPr>
              <w:t>2012</w:t>
            </w:r>
            <w:r>
              <w:rPr>
                <w:rFonts w:asciiTheme="minorEastAsia" w:eastAsiaTheme="minorEastAsia" w:hAnsiTheme="minorEastAsia" w:cs="宋体" w:hint="eastAsia"/>
                <w:color w:val="000000" w:themeColor="text1"/>
                <w:kern w:val="0"/>
                <w:sz w:val="20"/>
                <w:szCs w:val="20"/>
              </w:rPr>
              <w:t>〕</w:t>
            </w:r>
            <w:r>
              <w:rPr>
                <w:rFonts w:asciiTheme="minorEastAsia" w:eastAsiaTheme="minorEastAsia" w:hAnsiTheme="minorEastAsia" w:cs="宋体" w:hint="eastAsia"/>
                <w:color w:val="000000" w:themeColor="text1"/>
                <w:kern w:val="0"/>
                <w:sz w:val="20"/>
                <w:szCs w:val="20"/>
              </w:rPr>
              <w:t>497</w:t>
            </w:r>
            <w:r>
              <w:rPr>
                <w:rFonts w:asciiTheme="minorEastAsia" w:eastAsiaTheme="minorEastAsia" w:hAnsiTheme="minorEastAsia" w:cs="宋体" w:hint="eastAsia"/>
                <w:color w:val="000000" w:themeColor="text1"/>
                <w:kern w:val="0"/>
                <w:sz w:val="20"/>
                <w:szCs w:val="20"/>
              </w:rPr>
              <w:t>号），建立重大节日退离居委会老积极分子走访慰问制度，深入老积极分子家中了解需求，积极帮助解决实际问题，确保各项走访慰问工作全部落实到位。</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5</w:t>
            </w:r>
            <w:r>
              <w:rPr>
                <w:rFonts w:asciiTheme="minorEastAsia" w:eastAsiaTheme="minorEastAsia" w:hAnsiTheme="minorEastAsia" w:cs="宋体" w:hint="eastAsia"/>
                <w:color w:val="000000" w:themeColor="text1"/>
                <w:kern w:val="0"/>
                <w:sz w:val="20"/>
                <w:szCs w:val="20"/>
              </w:rPr>
              <w:t>、保障社区办公及活动用房的正常使用，配备能够满足工作需要的办公设备。</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6</w:t>
            </w:r>
            <w:r>
              <w:rPr>
                <w:rFonts w:asciiTheme="minorEastAsia" w:eastAsiaTheme="minorEastAsia" w:hAnsiTheme="minorEastAsia" w:cs="宋体" w:hint="eastAsia"/>
                <w:color w:val="000000" w:themeColor="text1"/>
                <w:kern w:val="0"/>
                <w:sz w:val="20"/>
                <w:szCs w:val="20"/>
              </w:rPr>
              <w:t>、保障社区工作者日常、激励等各项工作经费保障到位，提高以人为本的精细化管理和高效便捷的服务水平，涉及社工人员</w:t>
            </w:r>
            <w:r>
              <w:rPr>
                <w:rFonts w:asciiTheme="minorEastAsia" w:eastAsiaTheme="minorEastAsia" w:hAnsiTheme="minorEastAsia" w:cs="宋体" w:hint="eastAsia"/>
                <w:color w:val="000000" w:themeColor="text1"/>
                <w:kern w:val="0"/>
                <w:sz w:val="20"/>
                <w:szCs w:val="20"/>
              </w:rPr>
              <w:t>300</w:t>
            </w:r>
            <w:r>
              <w:rPr>
                <w:rFonts w:asciiTheme="minorEastAsia" w:eastAsiaTheme="minorEastAsia" w:hAnsiTheme="minorEastAsia" w:cs="宋体" w:hint="eastAsia"/>
                <w:color w:val="000000" w:themeColor="text1"/>
                <w:kern w:val="0"/>
                <w:sz w:val="20"/>
                <w:szCs w:val="20"/>
              </w:rPr>
              <w:t>余名。</w:t>
            </w:r>
          </w:p>
        </w:tc>
      </w:tr>
      <w:tr w:rsidR="00C53B24">
        <w:trPr>
          <w:trHeight w:val="1408"/>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产出质量指标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按照市、区关于建设和谐社区的指示精神和相关要求，紧紧围绕和谐社区建设工作目标，以社区居委会规范化管理和社区工作者队伍建设、社区楼门院长队伍建设作为建设和谐社区的切入点和着力点，推进和谐社区建设步伐。社工工资发放符合《北京市西城区</w:t>
            </w:r>
            <w:r>
              <w:rPr>
                <w:rFonts w:asciiTheme="minorEastAsia" w:eastAsiaTheme="minorEastAsia" w:hAnsiTheme="minorEastAsia" w:cs="宋体" w:hint="eastAsia"/>
                <w:color w:val="000000" w:themeColor="text1"/>
                <w:kern w:val="0"/>
                <w:sz w:val="20"/>
                <w:szCs w:val="20"/>
              </w:rPr>
              <w:t>2018</w:t>
            </w:r>
            <w:r>
              <w:rPr>
                <w:rFonts w:asciiTheme="minorEastAsia" w:eastAsiaTheme="minorEastAsia" w:hAnsiTheme="minorEastAsia" w:cs="宋体" w:hint="eastAsia"/>
                <w:color w:val="000000" w:themeColor="text1"/>
                <w:kern w:val="0"/>
                <w:sz w:val="20"/>
                <w:szCs w:val="20"/>
              </w:rPr>
              <w:t>年社区工作者工资待遇调整方案》社区工作者的待遇规定</w:t>
            </w:r>
            <w:r>
              <w:rPr>
                <w:rFonts w:asciiTheme="minorEastAsia" w:eastAsiaTheme="minorEastAsia" w:hAnsiTheme="minorEastAsia" w:cs="宋体" w:hint="eastAsia"/>
                <w:color w:val="000000" w:themeColor="text1"/>
                <w:kern w:val="0"/>
                <w:sz w:val="20"/>
                <w:szCs w:val="20"/>
              </w:rPr>
              <w:t>,100%</w:t>
            </w:r>
            <w:r>
              <w:rPr>
                <w:rFonts w:asciiTheme="minorEastAsia" w:eastAsiaTheme="minorEastAsia" w:hAnsiTheme="minorEastAsia" w:cs="宋体" w:hint="eastAsia"/>
                <w:color w:val="000000" w:themeColor="text1"/>
                <w:kern w:val="0"/>
                <w:sz w:val="20"/>
                <w:szCs w:val="20"/>
              </w:rPr>
              <w:t>保障社</w:t>
            </w:r>
            <w:proofErr w:type="gramStart"/>
            <w:r>
              <w:rPr>
                <w:rFonts w:asciiTheme="minorEastAsia" w:eastAsiaTheme="minorEastAsia" w:hAnsiTheme="minorEastAsia" w:cs="宋体" w:hint="eastAsia"/>
                <w:color w:val="000000" w:themeColor="text1"/>
                <w:kern w:val="0"/>
                <w:sz w:val="20"/>
                <w:szCs w:val="20"/>
              </w:rPr>
              <w:t>工利益</w:t>
            </w:r>
            <w:proofErr w:type="gramEnd"/>
            <w:r>
              <w:rPr>
                <w:rFonts w:asciiTheme="minorEastAsia" w:eastAsiaTheme="minorEastAsia" w:hAnsiTheme="minorEastAsia" w:cs="宋体" w:hint="eastAsia"/>
                <w:color w:val="000000" w:themeColor="text1"/>
                <w:kern w:val="0"/>
                <w:sz w:val="20"/>
                <w:szCs w:val="20"/>
              </w:rPr>
              <w:t xml:space="preserve">, </w:t>
            </w:r>
            <w:r>
              <w:rPr>
                <w:rFonts w:asciiTheme="minorEastAsia" w:eastAsiaTheme="minorEastAsia" w:hAnsiTheme="minorEastAsia" w:cs="宋体" w:hint="eastAsia"/>
                <w:color w:val="000000" w:themeColor="text1"/>
                <w:kern w:val="0"/>
                <w:sz w:val="20"/>
                <w:szCs w:val="20"/>
              </w:rPr>
              <w:t>并享有基本养老、医疗、失业、工伤、生育等社会保险、独生子女费和住房公积金。根据本区经济社会发展水平和社区工作实际，适当增加其他待遇；表彰奖励符合《北京市西城区</w:t>
            </w:r>
            <w:r>
              <w:rPr>
                <w:rFonts w:asciiTheme="minorEastAsia" w:eastAsiaTheme="minorEastAsia" w:hAnsiTheme="minorEastAsia" w:cs="宋体" w:hint="eastAsia"/>
                <w:color w:val="000000" w:themeColor="text1"/>
                <w:kern w:val="0"/>
                <w:sz w:val="20"/>
                <w:szCs w:val="20"/>
              </w:rPr>
              <w:t>2018</w:t>
            </w:r>
            <w:r>
              <w:rPr>
                <w:rFonts w:asciiTheme="minorEastAsia" w:eastAsiaTheme="minorEastAsia" w:hAnsiTheme="minorEastAsia" w:cs="宋体" w:hint="eastAsia"/>
                <w:color w:val="000000" w:themeColor="text1"/>
                <w:kern w:val="0"/>
                <w:sz w:val="20"/>
                <w:szCs w:val="20"/>
              </w:rPr>
              <w:t>年社区工作者工资待遇调整方案》，对</w:t>
            </w:r>
            <w:r>
              <w:rPr>
                <w:rFonts w:asciiTheme="minorEastAsia" w:eastAsiaTheme="minorEastAsia" w:hAnsiTheme="minorEastAsia" w:cs="宋体" w:hint="eastAsia"/>
                <w:color w:val="000000" w:themeColor="text1"/>
                <w:kern w:val="0"/>
                <w:sz w:val="20"/>
                <w:szCs w:val="20"/>
              </w:rPr>
              <w:t>在社区建设中做出显著成绩的优秀社区工作者给予表彰奖励。根据社区工作者的工作实绩和群众评价，对工作业绩突出、居民群众满意度高的社区工作者，分层次进行评选表彰，充分调动广大社区工作者的积极性，社工考核合格率达到</w:t>
            </w:r>
            <w:r>
              <w:rPr>
                <w:rFonts w:asciiTheme="minorEastAsia" w:eastAsiaTheme="minorEastAsia" w:hAnsiTheme="minorEastAsia" w:cs="宋体" w:hint="eastAsia"/>
                <w:color w:val="000000" w:themeColor="text1"/>
                <w:kern w:val="0"/>
                <w:sz w:val="20"/>
                <w:szCs w:val="20"/>
              </w:rPr>
              <w:t>100%</w:t>
            </w:r>
            <w:r>
              <w:rPr>
                <w:rFonts w:asciiTheme="minorEastAsia" w:eastAsiaTheme="minorEastAsia" w:hAnsiTheme="minorEastAsia" w:cs="宋体" w:hint="eastAsia"/>
                <w:color w:val="000000" w:themeColor="text1"/>
                <w:kern w:val="0"/>
                <w:sz w:val="20"/>
                <w:szCs w:val="20"/>
              </w:rPr>
              <w:t>，优秀率达到</w:t>
            </w:r>
            <w:r>
              <w:rPr>
                <w:rFonts w:asciiTheme="minorEastAsia" w:eastAsiaTheme="minorEastAsia" w:hAnsiTheme="minorEastAsia" w:cs="宋体" w:hint="eastAsia"/>
                <w:color w:val="000000" w:themeColor="text1"/>
                <w:kern w:val="0"/>
                <w:sz w:val="20"/>
                <w:szCs w:val="20"/>
              </w:rPr>
              <w:t>27%</w:t>
            </w:r>
            <w:r>
              <w:rPr>
                <w:rFonts w:asciiTheme="minorEastAsia" w:eastAsiaTheme="minorEastAsia" w:hAnsiTheme="minorEastAsia" w:cs="宋体" w:hint="eastAsia"/>
                <w:color w:val="000000" w:themeColor="text1"/>
                <w:kern w:val="0"/>
                <w:sz w:val="20"/>
                <w:szCs w:val="20"/>
              </w:rPr>
              <w:t>。</w:t>
            </w:r>
          </w:p>
        </w:tc>
      </w:tr>
      <w:tr w:rsidR="00C53B24">
        <w:trPr>
          <w:trHeight w:val="1064"/>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产出进度指标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1</w:t>
            </w:r>
            <w:r>
              <w:rPr>
                <w:rFonts w:asciiTheme="minorEastAsia" w:eastAsiaTheme="minorEastAsia" w:hAnsiTheme="minorEastAsia" w:cs="宋体" w:hint="eastAsia"/>
                <w:color w:val="000000" w:themeColor="text1"/>
                <w:kern w:val="0"/>
                <w:sz w:val="20"/>
                <w:szCs w:val="20"/>
              </w:rPr>
              <w:t>、常规工作内容按照年度工作计划安排进度及相关政策文件要求完成；</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2</w:t>
            </w:r>
            <w:r>
              <w:rPr>
                <w:rFonts w:asciiTheme="minorEastAsia" w:eastAsiaTheme="minorEastAsia" w:hAnsiTheme="minorEastAsia" w:cs="宋体" w:hint="eastAsia"/>
                <w:color w:val="000000" w:themeColor="text1"/>
                <w:kern w:val="0"/>
                <w:sz w:val="20"/>
                <w:szCs w:val="20"/>
              </w:rPr>
              <w:t>、突发性或临时性工作目标按照相关部门要求及时完成。</w:t>
            </w:r>
          </w:p>
        </w:tc>
      </w:tr>
      <w:tr w:rsidR="00C53B24">
        <w:trPr>
          <w:trHeight w:val="969"/>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产出成本指标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highlight w:val="yellow"/>
              </w:rPr>
            </w:pPr>
            <w:r>
              <w:rPr>
                <w:rFonts w:asciiTheme="minorEastAsia" w:eastAsiaTheme="minorEastAsia" w:hAnsiTheme="minorEastAsia" w:cs="宋体" w:hint="eastAsia"/>
                <w:color w:val="000000" w:themeColor="text1"/>
                <w:kern w:val="0"/>
                <w:sz w:val="20"/>
                <w:szCs w:val="20"/>
              </w:rPr>
              <w:t>社区建设工作成本控制在</w:t>
            </w:r>
            <w:r>
              <w:rPr>
                <w:rFonts w:asciiTheme="minorEastAsia" w:eastAsiaTheme="minorEastAsia" w:hAnsiTheme="minorEastAsia" w:cs="宋体" w:hint="eastAsia"/>
                <w:color w:val="000000" w:themeColor="text1"/>
                <w:kern w:val="0"/>
                <w:sz w:val="20"/>
                <w:szCs w:val="20"/>
              </w:rPr>
              <w:t>9142.08</w:t>
            </w:r>
            <w:r>
              <w:rPr>
                <w:rFonts w:asciiTheme="minorEastAsia" w:eastAsiaTheme="minorEastAsia" w:hAnsiTheme="minorEastAsia" w:cs="宋体" w:hint="eastAsia"/>
                <w:color w:val="000000" w:themeColor="text1"/>
                <w:kern w:val="0"/>
                <w:sz w:val="20"/>
                <w:szCs w:val="20"/>
              </w:rPr>
              <w:t>万元之内，占全年项目支出总额的</w:t>
            </w:r>
            <w:r>
              <w:rPr>
                <w:rFonts w:asciiTheme="minorEastAsia" w:eastAsiaTheme="minorEastAsia" w:hAnsiTheme="minorEastAsia" w:cs="宋体" w:hint="eastAsia"/>
                <w:color w:val="000000" w:themeColor="text1"/>
                <w:kern w:val="0"/>
                <w:sz w:val="20"/>
                <w:szCs w:val="20"/>
              </w:rPr>
              <w:t>29.54%</w:t>
            </w:r>
            <w:r>
              <w:rPr>
                <w:rFonts w:asciiTheme="minorEastAsia" w:eastAsiaTheme="minorEastAsia" w:hAnsiTheme="minorEastAsia" w:cs="宋体" w:hint="eastAsia"/>
                <w:color w:val="000000" w:themeColor="text1"/>
                <w:kern w:val="0"/>
                <w:sz w:val="20"/>
                <w:szCs w:val="20"/>
              </w:rPr>
              <w:t>。</w:t>
            </w:r>
          </w:p>
        </w:tc>
      </w:tr>
      <w:tr w:rsidR="00C53B24">
        <w:trPr>
          <w:trHeight w:val="1691"/>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restar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产出指标四</w:t>
            </w:r>
            <w:r>
              <w:rPr>
                <w:rFonts w:asciiTheme="minorEastAsia" w:eastAsiaTheme="minorEastAsia" w:hAnsiTheme="minorEastAsia" w:cs="宋体" w:hint="eastAsia"/>
                <w:color w:val="000000" w:themeColor="text1"/>
                <w:kern w:val="0"/>
                <w:sz w:val="20"/>
                <w:szCs w:val="20"/>
              </w:rPr>
              <w:br/>
              <w:t>(</w:t>
            </w:r>
            <w:r>
              <w:rPr>
                <w:rFonts w:asciiTheme="minorEastAsia" w:eastAsiaTheme="minorEastAsia" w:hAnsiTheme="minorEastAsia" w:cs="宋体" w:hint="eastAsia"/>
                <w:color w:val="000000" w:themeColor="text1"/>
                <w:kern w:val="0"/>
                <w:sz w:val="20"/>
                <w:szCs w:val="20"/>
              </w:rPr>
              <w:t>综</w:t>
            </w:r>
            <w:proofErr w:type="gramStart"/>
            <w:r>
              <w:rPr>
                <w:rFonts w:asciiTheme="minorEastAsia" w:eastAsiaTheme="minorEastAsia" w:hAnsiTheme="minorEastAsia" w:cs="宋体" w:hint="eastAsia"/>
                <w:color w:val="000000" w:themeColor="text1"/>
                <w:kern w:val="0"/>
                <w:sz w:val="20"/>
                <w:szCs w:val="20"/>
              </w:rPr>
              <w:t>治维稳</w:t>
            </w:r>
            <w:proofErr w:type="gramEnd"/>
            <w:r>
              <w:rPr>
                <w:rFonts w:asciiTheme="minorEastAsia" w:eastAsiaTheme="minorEastAsia" w:hAnsiTheme="minorEastAsia" w:cs="宋体" w:hint="eastAsia"/>
                <w:color w:val="000000" w:themeColor="text1"/>
                <w:kern w:val="0"/>
                <w:sz w:val="20"/>
                <w:szCs w:val="20"/>
              </w:rPr>
              <w:t>)</w:t>
            </w: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产出数量指标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健全维护首都核心区安全工作机制，加强治安防控体系建设，降低可防性案件发案率，有效提升群众安全感。强化社会面防控等级机制，</w:t>
            </w:r>
            <w:proofErr w:type="gramStart"/>
            <w:r>
              <w:rPr>
                <w:rFonts w:asciiTheme="minorEastAsia" w:eastAsiaTheme="minorEastAsia" w:hAnsiTheme="minorEastAsia" w:cs="宋体" w:hint="eastAsia"/>
                <w:color w:val="000000" w:themeColor="text1"/>
                <w:kern w:val="0"/>
                <w:sz w:val="20"/>
                <w:szCs w:val="20"/>
              </w:rPr>
              <w:t>织密反</w:t>
            </w:r>
            <w:proofErr w:type="gramEnd"/>
            <w:r>
              <w:rPr>
                <w:rFonts w:asciiTheme="minorEastAsia" w:eastAsiaTheme="minorEastAsia" w:hAnsiTheme="minorEastAsia" w:cs="宋体" w:hint="eastAsia"/>
                <w:color w:val="000000" w:themeColor="text1"/>
                <w:kern w:val="0"/>
                <w:sz w:val="20"/>
                <w:szCs w:val="20"/>
              </w:rPr>
              <w:t>恐防暴网络，加强重点人员管理和安全监管力度，完成全国“两会”等重点时期安保任务。</w:t>
            </w:r>
          </w:p>
        </w:tc>
      </w:tr>
      <w:tr w:rsidR="00C53B24">
        <w:trPr>
          <w:trHeight w:val="3958"/>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产出质量指标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1</w:t>
            </w:r>
            <w:r>
              <w:rPr>
                <w:rFonts w:asciiTheme="minorEastAsia" w:eastAsiaTheme="minorEastAsia" w:hAnsiTheme="minorEastAsia" w:cs="宋体" w:hint="eastAsia"/>
                <w:color w:val="000000" w:themeColor="text1"/>
                <w:kern w:val="0"/>
                <w:sz w:val="20"/>
                <w:szCs w:val="20"/>
              </w:rPr>
              <w:t>、按照《西城区安全社区指导标准实施细则》（试行）文件要求开展相关工作，增强地区居民安全感，降低社区可防性案件发案率。</w:t>
            </w:r>
            <w:r>
              <w:rPr>
                <w:rFonts w:asciiTheme="minorEastAsia" w:eastAsiaTheme="minorEastAsia" w:hAnsiTheme="minorEastAsia" w:cs="宋体" w:hint="eastAsia"/>
                <w:color w:val="000000" w:themeColor="text1"/>
                <w:kern w:val="0"/>
                <w:sz w:val="20"/>
                <w:szCs w:val="20"/>
              </w:rPr>
              <w:br/>
            </w:r>
            <w:r>
              <w:rPr>
                <w:rFonts w:asciiTheme="minorEastAsia" w:eastAsiaTheme="minorEastAsia" w:hAnsiTheme="minorEastAsia" w:cs="宋体"/>
                <w:color w:val="000000" w:themeColor="text1"/>
                <w:kern w:val="0"/>
                <w:sz w:val="20"/>
                <w:szCs w:val="20"/>
              </w:rPr>
              <w:t xml:space="preserve">    </w:t>
            </w:r>
            <w:r>
              <w:rPr>
                <w:rFonts w:asciiTheme="minorEastAsia" w:eastAsiaTheme="minorEastAsia" w:hAnsiTheme="minorEastAsia" w:cs="宋体" w:hint="eastAsia"/>
                <w:color w:val="000000" w:themeColor="text1"/>
                <w:kern w:val="0"/>
                <w:sz w:val="20"/>
                <w:szCs w:val="20"/>
              </w:rPr>
              <w:t>2</w:t>
            </w:r>
            <w:r>
              <w:rPr>
                <w:rFonts w:asciiTheme="minorEastAsia" w:eastAsiaTheme="minorEastAsia" w:hAnsiTheme="minorEastAsia" w:cs="宋体" w:hint="eastAsia"/>
                <w:color w:val="000000" w:themeColor="text1"/>
                <w:kern w:val="0"/>
                <w:sz w:val="20"/>
                <w:szCs w:val="20"/>
              </w:rPr>
              <w:t>、根据北京市及西城区综</w:t>
            </w:r>
            <w:proofErr w:type="gramStart"/>
            <w:r>
              <w:rPr>
                <w:rFonts w:asciiTheme="minorEastAsia" w:eastAsiaTheme="minorEastAsia" w:hAnsiTheme="minorEastAsia" w:cs="宋体" w:hint="eastAsia"/>
                <w:color w:val="000000" w:themeColor="text1"/>
                <w:kern w:val="0"/>
                <w:sz w:val="20"/>
                <w:szCs w:val="20"/>
              </w:rPr>
              <w:t>治维稳工作</w:t>
            </w:r>
            <w:proofErr w:type="gramEnd"/>
            <w:r>
              <w:rPr>
                <w:rFonts w:asciiTheme="minorEastAsia" w:eastAsiaTheme="minorEastAsia" w:hAnsiTheme="minorEastAsia" w:cs="宋体" w:hint="eastAsia"/>
                <w:color w:val="000000" w:themeColor="text1"/>
                <w:kern w:val="0"/>
                <w:sz w:val="20"/>
                <w:szCs w:val="20"/>
              </w:rPr>
              <w:t>要求，结合地区实际情况，进一步整合各部门资源，维护地区稳定，提升社会管理水平。</w:t>
            </w:r>
            <w:r>
              <w:rPr>
                <w:rFonts w:asciiTheme="minorEastAsia" w:eastAsiaTheme="minorEastAsia" w:hAnsiTheme="minorEastAsia" w:cs="宋体" w:hint="eastAsia"/>
                <w:color w:val="000000" w:themeColor="text1"/>
                <w:kern w:val="0"/>
                <w:sz w:val="20"/>
                <w:szCs w:val="20"/>
              </w:rPr>
              <w:br/>
            </w:r>
            <w:r>
              <w:rPr>
                <w:rFonts w:asciiTheme="minorEastAsia" w:eastAsiaTheme="minorEastAsia" w:hAnsiTheme="minorEastAsia" w:cs="宋体"/>
                <w:color w:val="000000" w:themeColor="text1"/>
                <w:kern w:val="0"/>
                <w:sz w:val="20"/>
                <w:szCs w:val="20"/>
              </w:rPr>
              <w:t xml:space="preserve">    </w:t>
            </w:r>
            <w:r>
              <w:rPr>
                <w:rFonts w:asciiTheme="minorEastAsia" w:eastAsiaTheme="minorEastAsia" w:hAnsiTheme="minorEastAsia" w:cs="宋体" w:hint="eastAsia"/>
                <w:color w:val="000000" w:themeColor="text1"/>
                <w:kern w:val="0"/>
                <w:sz w:val="20"/>
                <w:szCs w:val="20"/>
              </w:rPr>
              <w:t>3</w:t>
            </w:r>
            <w:r>
              <w:rPr>
                <w:rFonts w:asciiTheme="minorEastAsia" w:eastAsiaTheme="minorEastAsia" w:hAnsiTheme="minorEastAsia" w:cs="宋体" w:hint="eastAsia"/>
                <w:color w:val="000000" w:themeColor="text1"/>
                <w:kern w:val="0"/>
                <w:sz w:val="20"/>
                <w:szCs w:val="20"/>
              </w:rPr>
              <w:t>、</w:t>
            </w:r>
            <w:r>
              <w:rPr>
                <w:rFonts w:asciiTheme="minorEastAsia" w:eastAsiaTheme="minorEastAsia" w:hAnsiTheme="minorEastAsia" w:hint="eastAsia"/>
                <w:color w:val="000000" w:themeColor="text1"/>
                <w:sz w:val="20"/>
                <w:szCs w:val="20"/>
              </w:rPr>
              <w:t>协调、指导、监督、检查各部门对流动人口和出租房屋的管理服务工作及辖区流动人口和出租房屋管理队伍的使用、管理和考核工作。</w:t>
            </w:r>
            <w:r>
              <w:rPr>
                <w:rFonts w:asciiTheme="minorEastAsia" w:eastAsiaTheme="minorEastAsia" w:hAnsiTheme="minorEastAsia" w:cs="宋体" w:hint="eastAsia"/>
                <w:color w:val="000000" w:themeColor="text1"/>
                <w:kern w:val="0"/>
                <w:sz w:val="20"/>
                <w:szCs w:val="20"/>
              </w:rPr>
              <w:br/>
            </w:r>
            <w:r>
              <w:rPr>
                <w:rFonts w:asciiTheme="minorEastAsia" w:eastAsiaTheme="minorEastAsia" w:hAnsiTheme="minorEastAsia" w:cs="宋体"/>
                <w:color w:val="000000" w:themeColor="text1"/>
                <w:kern w:val="0"/>
                <w:sz w:val="20"/>
                <w:szCs w:val="20"/>
              </w:rPr>
              <w:t xml:space="preserve">    </w:t>
            </w:r>
            <w:r>
              <w:rPr>
                <w:rFonts w:asciiTheme="minorEastAsia" w:eastAsiaTheme="minorEastAsia" w:hAnsiTheme="minorEastAsia" w:cs="宋体" w:hint="eastAsia"/>
                <w:color w:val="000000" w:themeColor="text1"/>
                <w:kern w:val="0"/>
                <w:sz w:val="20"/>
                <w:szCs w:val="20"/>
              </w:rPr>
              <w:t>4</w:t>
            </w:r>
            <w:r>
              <w:rPr>
                <w:rFonts w:asciiTheme="minorEastAsia" w:eastAsiaTheme="minorEastAsia" w:hAnsiTheme="minorEastAsia" w:cs="宋体" w:hint="eastAsia"/>
                <w:color w:val="000000" w:themeColor="text1"/>
                <w:kern w:val="0"/>
                <w:sz w:val="20"/>
                <w:szCs w:val="20"/>
              </w:rPr>
              <w:t>、按照信访条例落实处级领导信访接待日制度，协调处理纠纷，妥善化解矛盾。</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5</w:t>
            </w:r>
            <w:r>
              <w:rPr>
                <w:rFonts w:asciiTheme="minorEastAsia" w:eastAsiaTheme="minorEastAsia" w:hAnsiTheme="minorEastAsia" w:cs="宋体" w:hint="eastAsia"/>
                <w:color w:val="000000" w:themeColor="text1"/>
                <w:kern w:val="0"/>
                <w:sz w:val="20"/>
                <w:szCs w:val="20"/>
              </w:rPr>
              <w:t>、对于突发性问题，在第一时间内给予应急处置，统筹协调到位。</w:t>
            </w:r>
          </w:p>
        </w:tc>
      </w:tr>
      <w:tr w:rsidR="00C53B24">
        <w:trPr>
          <w:trHeight w:val="1265"/>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产出进度指标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按照全年工作计划及特殊敏感时期区安保任务执行；年内交通、消防、食品药品、安全生产等公共安全领域各项工作指标均不超过市、区下达给本辖区的指标。</w:t>
            </w:r>
          </w:p>
        </w:tc>
      </w:tr>
      <w:tr w:rsidR="00C53B24">
        <w:trPr>
          <w:trHeight w:val="844"/>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产出成本指标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综</w:t>
            </w:r>
            <w:proofErr w:type="gramStart"/>
            <w:r>
              <w:rPr>
                <w:rFonts w:asciiTheme="minorEastAsia" w:eastAsiaTheme="minorEastAsia" w:hAnsiTheme="minorEastAsia" w:cs="宋体" w:hint="eastAsia"/>
                <w:color w:val="000000" w:themeColor="text1"/>
                <w:kern w:val="0"/>
                <w:sz w:val="20"/>
                <w:szCs w:val="20"/>
              </w:rPr>
              <w:t>治维稳工作</w:t>
            </w:r>
            <w:proofErr w:type="gramEnd"/>
            <w:r>
              <w:rPr>
                <w:rFonts w:asciiTheme="minorEastAsia" w:eastAsiaTheme="minorEastAsia" w:hAnsiTheme="minorEastAsia" w:cs="宋体" w:hint="eastAsia"/>
                <w:color w:val="000000" w:themeColor="text1"/>
                <w:kern w:val="0"/>
                <w:sz w:val="20"/>
                <w:szCs w:val="20"/>
              </w:rPr>
              <w:t>成本控制在</w:t>
            </w:r>
            <w:r>
              <w:rPr>
                <w:rFonts w:asciiTheme="minorEastAsia" w:eastAsiaTheme="minorEastAsia" w:hAnsiTheme="minorEastAsia" w:cs="宋体" w:hint="eastAsia"/>
                <w:color w:val="000000" w:themeColor="text1"/>
                <w:kern w:val="0"/>
                <w:sz w:val="20"/>
                <w:szCs w:val="20"/>
              </w:rPr>
              <w:t>1793.72</w:t>
            </w:r>
            <w:r>
              <w:rPr>
                <w:rFonts w:asciiTheme="minorEastAsia" w:eastAsiaTheme="minorEastAsia" w:hAnsiTheme="minorEastAsia" w:cs="宋体" w:hint="eastAsia"/>
                <w:color w:val="000000" w:themeColor="text1"/>
                <w:kern w:val="0"/>
                <w:sz w:val="20"/>
                <w:szCs w:val="20"/>
              </w:rPr>
              <w:t>万元之内，占全年项目支出总额的</w:t>
            </w:r>
            <w:r>
              <w:rPr>
                <w:rFonts w:asciiTheme="minorEastAsia" w:eastAsiaTheme="minorEastAsia" w:hAnsiTheme="minorEastAsia" w:cs="宋体" w:hint="eastAsia"/>
                <w:color w:val="000000" w:themeColor="text1"/>
                <w:kern w:val="0"/>
                <w:sz w:val="20"/>
                <w:szCs w:val="20"/>
              </w:rPr>
              <w:t>5.80%</w:t>
            </w:r>
            <w:r>
              <w:rPr>
                <w:rFonts w:asciiTheme="minorEastAsia" w:eastAsiaTheme="minorEastAsia" w:hAnsiTheme="minorEastAsia" w:cs="宋体" w:hint="eastAsia"/>
                <w:color w:val="000000" w:themeColor="text1"/>
                <w:kern w:val="0"/>
                <w:sz w:val="20"/>
                <w:szCs w:val="20"/>
              </w:rPr>
              <w:t>。</w:t>
            </w:r>
          </w:p>
        </w:tc>
      </w:tr>
      <w:tr w:rsidR="00C53B24">
        <w:trPr>
          <w:trHeight w:val="1267"/>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restar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产出指标五</w:t>
            </w:r>
            <w:r>
              <w:rPr>
                <w:rFonts w:asciiTheme="minorEastAsia" w:eastAsiaTheme="minorEastAsia" w:hAnsiTheme="minorEastAsia" w:cs="宋体" w:hint="eastAsia"/>
                <w:color w:val="000000" w:themeColor="text1"/>
                <w:kern w:val="0"/>
                <w:sz w:val="20"/>
                <w:szCs w:val="20"/>
              </w:rPr>
              <w:br/>
              <w:t>(</w:t>
            </w:r>
            <w:r>
              <w:rPr>
                <w:rFonts w:asciiTheme="minorEastAsia" w:eastAsiaTheme="minorEastAsia" w:hAnsiTheme="minorEastAsia" w:cs="宋体" w:hint="eastAsia"/>
                <w:color w:val="000000" w:themeColor="text1"/>
                <w:kern w:val="0"/>
                <w:sz w:val="20"/>
                <w:szCs w:val="20"/>
              </w:rPr>
              <w:t>事业发展及街道自身建设</w:t>
            </w:r>
            <w:r>
              <w:rPr>
                <w:rFonts w:asciiTheme="minorEastAsia" w:eastAsiaTheme="minorEastAsia" w:hAnsiTheme="minorEastAsia" w:cs="宋体" w:hint="eastAsia"/>
                <w:color w:val="000000" w:themeColor="text1"/>
                <w:kern w:val="0"/>
                <w:sz w:val="20"/>
                <w:szCs w:val="20"/>
              </w:rPr>
              <w:t>)</w:t>
            </w: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产出数量指标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落实《北京市街道办事处条例》，完善街道大部制职责清单，促进街道统筹、服务、管理、动员“四个能力”整体提升。强化基层服务型党组织建设，不断探索区域化党建新发展，努力完善领导班子、党员干部队伍、人才队伍、党的基层组织建设</w:t>
            </w:r>
            <w:r w:rsidRPr="00DF4761">
              <w:rPr>
                <w:rFonts w:asciiTheme="minorEastAsia" w:eastAsiaTheme="minorEastAsia" w:hAnsiTheme="minorEastAsia" w:cs="宋体" w:hint="eastAsia"/>
                <w:color w:val="000000" w:themeColor="text1"/>
                <w:kern w:val="0"/>
                <w:sz w:val="20"/>
                <w:szCs w:val="20"/>
              </w:rPr>
              <w:t>，完成社</w:t>
            </w:r>
            <w:bookmarkStart w:id="0" w:name="_GoBack"/>
            <w:bookmarkEnd w:id="0"/>
            <w:r w:rsidRPr="00DF4761">
              <w:rPr>
                <w:rFonts w:asciiTheme="minorEastAsia" w:eastAsiaTheme="minorEastAsia" w:hAnsiTheme="minorEastAsia" w:cs="宋体" w:hint="eastAsia"/>
                <w:color w:val="000000" w:themeColor="text1"/>
                <w:kern w:val="0"/>
                <w:sz w:val="20"/>
                <w:szCs w:val="20"/>
              </w:rPr>
              <w:t>区党委换届工作</w:t>
            </w:r>
            <w:r w:rsidRPr="00DF4761">
              <w:rPr>
                <w:rFonts w:asciiTheme="minorEastAsia" w:eastAsiaTheme="minorEastAsia" w:hAnsiTheme="minorEastAsia" w:cs="宋体" w:hint="eastAsia"/>
                <w:color w:val="000000" w:themeColor="text1"/>
                <w:kern w:val="0"/>
                <w:sz w:val="20"/>
                <w:szCs w:val="20"/>
              </w:rPr>
              <w:t>。</w:t>
            </w:r>
            <w:r>
              <w:rPr>
                <w:rFonts w:asciiTheme="minorEastAsia" w:eastAsiaTheme="minorEastAsia" w:hAnsiTheme="minorEastAsia" w:cs="宋体" w:hint="eastAsia"/>
                <w:color w:val="000000" w:themeColor="text1"/>
                <w:kern w:val="0"/>
                <w:sz w:val="20"/>
                <w:szCs w:val="20"/>
              </w:rPr>
              <w:t>组织、配合相关部门，做好全国第七次人口普查工作</w:t>
            </w:r>
            <w:r>
              <w:rPr>
                <w:rFonts w:asciiTheme="minorEastAsia" w:eastAsiaTheme="minorEastAsia" w:hAnsiTheme="minorEastAsia" w:cs="宋体" w:hint="eastAsia"/>
                <w:color w:val="000000" w:themeColor="text1"/>
                <w:kern w:val="0"/>
                <w:sz w:val="20"/>
                <w:szCs w:val="20"/>
              </w:rPr>
              <w:t>。</w:t>
            </w:r>
            <w:r>
              <w:rPr>
                <w:rFonts w:asciiTheme="minorEastAsia" w:eastAsiaTheme="minorEastAsia" w:hAnsiTheme="minorEastAsia" w:cs="宋体" w:hint="eastAsia"/>
                <w:color w:val="000000" w:themeColor="text1"/>
                <w:kern w:val="0"/>
                <w:sz w:val="20"/>
                <w:szCs w:val="20"/>
              </w:rPr>
              <w:t>完成办公基础设备、设施的维护维修和更新改造工作，统筹保障街道各类工程维修等施工进度及质量等保障性工作。</w:t>
            </w:r>
          </w:p>
        </w:tc>
      </w:tr>
      <w:tr w:rsidR="00C53B24">
        <w:trPr>
          <w:cantSplit/>
          <w:trHeight w:val="930"/>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产出质量指标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color w:val="000000" w:themeColor="text1"/>
                <w:kern w:val="0"/>
                <w:sz w:val="20"/>
                <w:szCs w:val="20"/>
              </w:rPr>
              <w:t xml:space="preserve">  </w:t>
            </w:r>
            <w:r>
              <w:rPr>
                <w:rFonts w:asciiTheme="minorEastAsia" w:eastAsiaTheme="minorEastAsia" w:hAnsiTheme="minorEastAsia" w:cs="宋体" w:hint="eastAsia"/>
                <w:color w:val="000000" w:themeColor="text1"/>
                <w:kern w:val="0"/>
                <w:sz w:val="20"/>
                <w:szCs w:val="20"/>
              </w:rPr>
              <w:t>统计数据为</w:t>
            </w:r>
            <w:r>
              <w:rPr>
                <w:rFonts w:asciiTheme="minorEastAsia" w:eastAsiaTheme="minorEastAsia" w:hAnsiTheme="minorEastAsia" w:cs="宋体" w:hint="eastAsia"/>
                <w:color w:val="000000"/>
                <w:kern w:val="0"/>
                <w:sz w:val="20"/>
                <w:szCs w:val="20"/>
              </w:rPr>
              <w:t>制定区域经济和社会发展规划提供依据</w:t>
            </w:r>
            <w:r>
              <w:rPr>
                <w:rFonts w:asciiTheme="minorEastAsia" w:eastAsiaTheme="minorEastAsia" w:hAnsiTheme="minorEastAsia" w:cs="宋体" w:hint="eastAsia"/>
                <w:color w:val="000000" w:themeColor="text1"/>
                <w:kern w:val="0"/>
                <w:sz w:val="20"/>
                <w:szCs w:val="20"/>
              </w:rPr>
              <w:t>，机关运行保障确保行政管理基础工作的顺利开展。</w:t>
            </w:r>
          </w:p>
        </w:tc>
      </w:tr>
      <w:tr w:rsidR="00C53B24">
        <w:trPr>
          <w:trHeight w:val="830"/>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产出进度指标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按照年度工作计划进度安排完成。</w:t>
            </w:r>
          </w:p>
        </w:tc>
      </w:tr>
      <w:tr w:rsidR="00C53B24">
        <w:trPr>
          <w:trHeight w:val="882"/>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产出成本指标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街道自身建设及事业发展工作成本控制在</w:t>
            </w:r>
            <w:r>
              <w:rPr>
                <w:rFonts w:asciiTheme="minorEastAsia" w:eastAsiaTheme="minorEastAsia" w:hAnsiTheme="minorEastAsia" w:cs="宋体" w:hint="eastAsia"/>
                <w:color w:val="000000" w:themeColor="text1"/>
                <w:kern w:val="0"/>
                <w:sz w:val="20"/>
                <w:szCs w:val="20"/>
              </w:rPr>
              <w:t>8260.03</w:t>
            </w:r>
            <w:r>
              <w:rPr>
                <w:rFonts w:asciiTheme="minorEastAsia" w:eastAsiaTheme="minorEastAsia" w:hAnsiTheme="minorEastAsia" w:cs="宋体" w:hint="eastAsia"/>
                <w:color w:val="000000" w:themeColor="text1"/>
                <w:kern w:val="0"/>
                <w:sz w:val="20"/>
                <w:szCs w:val="20"/>
              </w:rPr>
              <w:t>万元之内，占全年项目支出总额的</w:t>
            </w:r>
            <w:r>
              <w:rPr>
                <w:rFonts w:asciiTheme="minorEastAsia" w:eastAsiaTheme="minorEastAsia" w:hAnsiTheme="minorEastAsia" w:cs="宋体" w:hint="eastAsia"/>
                <w:color w:val="000000" w:themeColor="text1"/>
                <w:kern w:val="0"/>
                <w:sz w:val="20"/>
                <w:szCs w:val="20"/>
              </w:rPr>
              <w:t>26.68%</w:t>
            </w:r>
            <w:r>
              <w:rPr>
                <w:rFonts w:asciiTheme="minorEastAsia" w:eastAsiaTheme="minorEastAsia" w:hAnsiTheme="minorEastAsia" w:cs="宋体" w:hint="eastAsia"/>
                <w:color w:val="000000" w:themeColor="text1"/>
                <w:kern w:val="0"/>
                <w:sz w:val="20"/>
                <w:szCs w:val="20"/>
              </w:rPr>
              <w:t>。</w:t>
            </w:r>
          </w:p>
        </w:tc>
      </w:tr>
      <w:tr w:rsidR="00C53B24">
        <w:trPr>
          <w:trHeight w:val="554"/>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restar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效果指标</w:t>
            </w: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经济效益指标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不涉及。</w:t>
            </w:r>
          </w:p>
        </w:tc>
      </w:tr>
      <w:tr w:rsidR="00C53B24">
        <w:trPr>
          <w:trHeight w:val="2297"/>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社会效益指标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1</w:t>
            </w:r>
            <w:r>
              <w:rPr>
                <w:rFonts w:asciiTheme="minorEastAsia" w:eastAsiaTheme="minorEastAsia" w:hAnsiTheme="minorEastAsia" w:cs="宋体" w:hint="eastAsia"/>
                <w:color w:val="000000" w:themeColor="text1"/>
                <w:kern w:val="0"/>
                <w:sz w:val="20"/>
                <w:szCs w:val="20"/>
              </w:rPr>
              <w:t>、民生服务保障方面：在生活、医疗、住房、就业等“基本民生性”服务方面实现均等化服务，有效提升地区居民生活水平。</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2</w:t>
            </w:r>
            <w:r>
              <w:rPr>
                <w:rFonts w:asciiTheme="minorEastAsia" w:eastAsiaTheme="minorEastAsia" w:hAnsiTheme="minorEastAsia" w:cs="宋体" w:hint="eastAsia"/>
                <w:color w:val="000000" w:themeColor="text1"/>
                <w:kern w:val="0"/>
                <w:sz w:val="20"/>
                <w:szCs w:val="20"/>
              </w:rPr>
              <w:t>、社会治理方面：优化服务和提升精细化管理水平，将社区建设成为了管理有序、服务完善、文明祥和的社会生活共同体；</w:t>
            </w:r>
          </w:p>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3</w:t>
            </w:r>
            <w:r>
              <w:rPr>
                <w:rFonts w:asciiTheme="minorEastAsia" w:eastAsiaTheme="minorEastAsia" w:hAnsiTheme="minorEastAsia" w:cs="宋体" w:hint="eastAsia"/>
                <w:color w:val="000000" w:themeColor="text1"/>
                <w:kern w:val="0"/>
                <w:sz w:val="20"/>
                <w:szCs w:val="20"/>
              </w:rPr>
              <w:t>、社会秩序方面：最大限度减少地区可防性案件的发案数量，有力的保证地区社会面安全稳定，为地区居民营造安全有序的居住、生产、生活环境。</w:t>
            </w:r>
          </w:p>
        </w:tc>
      </w:tr>
      <w:tr w:rsidR="00C53B24">
        <w:trPr>
          <w:trHeight w:val="983"/>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环境效益指标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通过区域环境综合整治，使辖区生态环境得到优化</w:t>
            </w:r>
            <w:r>
              <w:rPr>
                <w:rFonts w:asciiTheme="minorEastAsia" w:eastAsiaTheme="minorEastAsia" w:hAnsiTheme="minorEastAsia" w:cs="宋体" w:hint="eastAsia"/>
                <w:color w:val="000000" w:themeColor="text1"/>
                <w:kern w:val="0"/>
                <w:sz w:val="20"/>
                <w:szCs w:val="20"/>
              </w:rPr>
              <w:t xml:space="preserve">, </w:t>
            </w:r>
            <w:r>
              <w:rPr>
                <w:rFonts w:asciiTheme="minorEastAsia" w:eastAsiaTheme="minorEastAsia" w:hAnsiTheme="minorEastAsia" w:cs="宋体" w:hint="eastAsia"/>
                <w:color w:val="000000" w:themeColor="text1"/>
                <w:kern w:val="0"/>
                <w:sz w:val="20"/>
                <w:szCs w:val="20"/>
              </w:rPr>
              <w:t>基础设施建设持续完善，城市运行保障体系健全有效。</w:t>
            </w:r>
          </w:p>
        </w:tc>
      </w:tr>
      <w:tr w:rsidR="00C53B24">
        <w:trPr>
          <w:trHeight w:val="964"/>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可持续影响指标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优化管理效能，不断提升社区建设发展水平；优化环境秩序，不断提升城市生态文明品质；优化防控格局，不断营造地区安全有序新环境。</w:t>
            </w:r>
          </w:p>
        </w:tc>
      </w:tr>
      <w:tr w:rsidR="00C53B24">
        <w:trPr>
          <w:trHeight w:val="809"/>
        </w:trPr>
        <w:tc>
          <w:tcPr>
            <w:tcW w:w="621"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709" w:type="pct"/>
            <w:vMerge/>
            <w:vAlign w:val="center"/>
          </w:tcPr>
          <w:p w:rsidR="00C53B24" w:rsidRDefault="00C53B24">
            <w:pPr>
              <w:widowControl/>
              <w:snapToGrid w:val="0"/>
              <w:spacing w:line="288" w:lineRule="auto"/>
              <w:ind w:firstLineChars="0" w:firstLine="0"/>
              <w:jc w:val="left"/>
              <w:rPr>
                <w:rFonts w:asciiTheme="minorEastAsia" w:eastAsiaTheme="minorEastAsia" w:hAnsiTheme="minorEastAsia" w:cs="宋体"/>
                <w:color w:val="000000" w:themeColor="text1"/>
                <w:kern w:val="0"/>
                <w:sz w:val="20"/>
                <w:szCs w:val="20"/>
              </w:rPr>
            </w:pPr>
          </w:p>
        </w:tc>
        <w:tc>
          <w:tcPr>
            <w:tcW w:w="567"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服务对象满意度指标</w:t>
            </w:r>
          </w:p>
        </w:tc>
        <w:tc>
          <w:tcPr>
            <w:tcW w:w="3103" w:type="pct"/>
            <w:gridSpan w:val="2"/>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地区居民居住、生产、生活环境安全、有序，各类困难人群基本生活得到有效保障，无重大投诉。</w:t>
            </w:r>
          </w:p>
        </w:tc>
      </w:tr>
      <w:tr w:rsidR="00C53B24">
        <w:trPr>
          <w:trHeight w:val="569"/>
        </w:trPr>
        <w:tc>
          <w:tcPr>
            <w:tcW w:w="621" w:type="pct"/>
            <w:shd w:val="clear" w:color="auto" w:fill="auto"/>
            <w:vAlign w:val="center"/>
          </w:tcPr>
          <w:p w:rsidR="00C53B24" w:rsidRDefault="00DF4761">
            <w:pPr>
              <w:widowControl/>
              <w:snapToGrid w:val="0"/>
              <w:spacing w:line="288" w:lineRule="auto"/>
              <w:ind w:firstLineChars="0" w:firstLine="0"/>
              <w:jc w:val="center"/>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其他说明的问题</w:t>
            </w:r>
          </w:p>
        </w:tc>
        <w:tc>
          <w:tcPr>
            <w:tcW w:w="4379" w:type="pct"/>
            <w:gridSpan w:val="4"/>
            <w:shd w:val="clear" w:color="auto" w:fill="auto"/>
            <w:vAlign w:val="center"/>
          </w:tcPr>
          <w:p w:rsidR="00C53B24" w:rsidRDefault="00DF4761">
            <w:pPr>
              <w:widowControl/>
              <w:snapToGrid w:val="0"/>
              <w:spacing w:line="288" w:lineRule="auto"/>
              <w:ind w:firstLine="400"/>
              <w:jc w:val="left"/>
              <w:rPr>
                <w:rFonts w:asciiTheme="minorEastAsia" w:eastAsiaTheme="minorEastAsia" w:hAnsiTheme="minorEastAsia" w:cs="宋体"/>
                <w:color w:val="000000" w:themeColor="text1"/>
                <w:kern w:val="0"/>
                <w:sz w:val="20"/>
                <w:szCs w:val="20"/>
              </w:rPr>
            </w:pPr>
            <w:r>
              <w:rPr>
                <w:rFonts w:asciiTheme="minorEastAsia" w:eastAsiaTheme="minorEastAsia" w:hAnsiTheme="minorEastAsia" w:cs="宋体" w:hint="eastAsia"/>
                <w:color w:val="000000" w:themeColor="text1"/>
                <w:kern w:val="0"/>
                <w:sz w:val="20"/>
                <w:szCs w:val="20"/>
              </w:rPr>
              <w:t>上述五大类工作中，产出成本指标均以项目经费为依据，不含基本支出。</w:t>
            </w:r>
          </w:p>
        </w:tc>
      </w:tr>
    </w:tbl>
    <w:p w:rsidR="00C53B24" w:rsidRDefault="00C53B24">
      <w:pPr>
        <w:ind w:firstLineChars="0" w:firstLine="0"/>
        <w:jc w:val="left"/>
        <w:rPr>
          <w:rFonts w:ascii="宋体" w:eastAsia="宋体" w:hAnsi="宋体"/>
          <w:color w:val="000000" w:themeColor="text1"/>
          <w:sz w:val="22"/>
        </w:rPr>
      </w:pPr>
    </w:p>
    <w:p w:rsidR="00C53B24" w:rsidRDefault="00C53B24">
      <w:pPr>
        <w:ind w:firstLine="440"/>
        <w:rPr>
          <w:rFonts w:ascii="宋体" w:eastAsia="宋体" w:hAnsi="宋体"/>
          <w:sz w:val="22"/>
        </w:rPr>
      </w:pPr>
    </w:p>
    <w:p w:rsidR="00C53B24" w:rsidRDefault="00C53B24">
      <w:pPr>
        <w:ind w:firstLine="440"/>
        <w:rPr>
          <w:rFonts w:ascii="宋体" w:eastAsia="宋体" w:hAnsi="宋体"/>
          <w:sz w:val="22"/>
        </w:rPr>
      </w:pPr>
    </w:p>
    <w:p w:rsidR="00C53B24" w:rsidRDefault="00C53B24">
      <w:pPr>
        <w:ind w:firstLine="440"/>
        <w:rPr>
          <w:rFonts w:ascii="宋体" w:eastAsia="宋体" w:hAnsi="宋体"/>
          <w:sz w:val="22"/>
        </w:rPr>
      </w:pPr>
    </w:p>
    <w:p w:rsidR="00C53B24" w:rsidRDefault="00C53B24">
      <w:pPr>
        <w:ind w:firstLine="440"/>
        <w:rPr>
          <w:rFonts w:ascii="宋体" w:eastAsia="宋体" w:hAnsi="宋体"/>
          <w:sz w:val="22"/>
        </w:rPr>
      </w:pPr>
    </w:p>
    <w:p w:rsidR="00C53B24" w:rsidRDefault="00C53B24">
      <w:pPr>
        <w:ind w:firstLine="440"/>
        <w:jc w:val="center"/>
        <w:rPr>
          <w:rFonts w:ascii="宋体" w:eastAsia="宋体" w:hAnsi="宋体"/>
          <w:sz w:val="22"/>
        </w:rPr>
      </w:pPr>
    </w:p>
    <w:sectPr w:rsidR="00C53B24" w:rsidSect="00C53B2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680" w:footer="737"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B24" w:rsidRDefault="00C53B24" w:rsidP="00DF4761">
      <w:pPr>
        <w:ind w:firstLine="560"/>
      </w:pPr>
      <w:r>
        <w:separator/>
      </w:r>
    </w:p>
  </w:endnote>
  <w:endnote w:type="continuationSeparator" w:id="1">
    <w:p w:rsidR="00C53B24" w:rsidRDefault="00C53B24" w:rsidP="00DF4761">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B24" w:rsidRDefault="00C53B24">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798207"/>
      <w:docPartObj>
        <w:docPartGallery w:val="AutoText"/>
      </w:docPartObj>
    </w:sdtPr>
    <w:sdtContent>
      <w:p w:rsidR="00C53B24" w:rsidRDefault="00C53B24">
        <w:pPr>
          <w:pStyle w:val="a5"/>
          <w:ind w:firstLine="360"/>
          <w:jc w:val="center"/>
        </w:pPr>
        <w:r>
          <w:fldChar w:fldCharType="begin"/>
        </w:r>
        <w:r w:rsidR="00DF4761">
          <w:instrText>PAGE   \* MERGEFORMAT</w:instrText>
        </w:r>
        <w:r>
          <w:fldChar w:fldCharType="separate"/>
        </w:r>
        <w:r w:rsidR="00DF4761" w:rsidRPr="00DF4761">
          <w:rPr>
            <w:noProof/>
            <w:lang w:val="zh-CN"/>
          </w:rPr>
          <w:t>5</w:t>
        </w:r>
        <w:r>
          <w:fldChar w:fldCharType="end"/>
        </w:r>
      </w:p>
    </w:sdtContent>
  </w:sdt>
  <w:p w:rsidR="00C53B24" w:rsidRDefault="00C53B24">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B24" w:rsidRDefault="00C53B24">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B24" w:rsidRDefault="00C53B24" w:rsidP="00DF4761">
      <w:pPr>
        <w:ind w:firstLine="560"/>
      </w:pPr>
      <w:r>
        <w:separator/>
      </w:r>
    </w:p>
  </w:footnote>
  <w:footnote w:type="continuationSeparator" w:id="1">
    <w:p w:rsidR="00C53B24" w:rsidRDefault="00C53B24" w:rsidP="00DF4761">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B24" w:rsidRDefault="00C53B24">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B24" w:rsidRDefault="00C53B24">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B24" w:rsidRDefault="00C53B24">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78E1"/>
    <w:rsid w:val="0000462F"/>
    <w:rsid w:val="0001706B"/>
    <w:rsid w:val="00024083"/>
    <w:rsid w:val="00025A10"/>
    <w:rsid w:val="00032DEA"/>
    <w:rsid w:val="0003485A"/>
    <w:rsid w:val="00035643"/>
    <w:rsid w:val="00037BB6"/>
    <w:rsid w:val="000446C4"/>
    <w:rsid w:val="0004638F"/>
    <w:rsid w:val="0004681B"/>
    <w:rsid w:val="000877C6"/>
    <w:rsid w:val="0009135F"/>
    <w:rsid w:val="000930F2"/>
    <w:rsid w:val="00093314"/>
    <w:rsid w:val="00093C94"/>
    <w:rsid w:val="00094594"/>
    <w:rsid w:val="00094EEA"/>
    <w:rsid w:val="000966E1"/>
    <w:rsid w:val="000A1F0A"/>
    <w:rsid w:val="000A28E1"/>
    <w:rsid w:val="000A7B42"/>
    <w:rsid w:val="000B6A03"/>
    <w:rsid w:val="000D4021"/>
    <w:rsid w:val="000D456E"/>
    <w:rsid w:val="000D5F1C"/>
    <w:rsid w:val="000D602F"/>
    <w:rsid w:val="000E7BDE"/>
    <w:rsid w:val="000F2FE9"/>
    <w:rsid w:val="00107BCF"/>
    <w:rsid w:val="001240CE"/>
    <w:rsid w:val="00131BFB"/>
    <w:rsid w:val="00143E81"/>
    <w:rsid w:val="00144B56"/>
    <w:rsid w:val="001635B0"/>
    <w:rsid w:val="001676C2"/>
    <w:rsid w:val="001720B8"/>
    <w:rsid w:val="00177F4B"/>
    <w:rsid w:val="0018153D"/>
    <w:rsid w:val="00181A33"/>
    <w:rsid w:val="001855E7"/>
    <w:rsid w:val="00190326"/>
    <w:rsid w:val="00190C9B"/>
    <w:rsid w:val="001A0707"/>
    <w:rsid w:val="001B2244"/>
    <w:rsid w:val="001B2420"/>
    <w:rsid w:val="001C54FA"/>
    <w:rsid w:val="001D20D2"/>
    <w:rsid w:val="001D309E"/>
    <w:rsid w:val="001D6F1A"/>
    <w:rsid w:val="002054DD"/>
    <w:rsid w:val="002108E3"/>
    <w:rsid w:val="00212C27"/>
    <w:rsid w:val="00227B9F"/>
    <w:rsid w:val="00240128"/>
    <w:rsid w:val="00242312"/>
    <w:rsid w:val="002512C4"/>
    <w:rsid w:val="00257E94"/>
    <w:rsid w:val="00261C2A"/>
    <w:rsid w:val="00263A66"/>
    <w:rsid w:val="00282962"/>
    <w:rsid w:val="00282C06"/>
    <w:rsid w:val="00291A55"/>
    <w:rsid w:val="00296351"/>
    <w:rsid w:val="002A7028"/>
    <w:rsid w:val="002B27F7"/>
    <w:rsid w:val="002B5485"/>
    <w:rsid w:val="002B7DE8"/>
    <w:rsid w:val="002D3756"/>
    <w:rsid w:val="002D3B3C"/>
    <w:rsid w:val="002E586D"/>
    <w:rsid w:val="002E6755"/>
    <w:rsid w:val="002F09F7"/>
    <w:rsid w:val="002F159C"/>
    <w:rsid w:val="002F2656"/>
    <w:rsid w:val="002F29B8"/>
    <w:rsid w:val="002F6B88"/>
    <w:rsid w:val="002F7FBD"/>
    <w:rsid w:val="00311C62"/>
    <w:rsid w:val="003136D4"/>
    <w:rsid w:val="0031558C"/>
    <w:rsid w:val="00321B5F"/>
    <w:rsid w:val="00324574"/>
    <w:rsid w:val="00332B08"/>
    <w:rsid w:val="00337557"/>
    <w:rsid w:val="0034589C"/>
    <w:rsid w:val="003478E1"/>
    <w:rsid w:val="00350316"/>
    <w:rsid w:val="00350771"/>
    <w:rsid w:val="00373BA5"/>
    <w:rsid w:val="00384051"/>
    <w:rsid w:val="00387238"/>
    <w:rsid w:val="00397C30"/>
    <w:rsid w:val="003A07DF"/>
    <w:rsid w:val="003A1FE3"/>
    <w:rsid w:val="003B5A3F"/>
    <w:rsid w:val="003C7E1D"/>
    <w:rsid w:val="003E2B37"/>
    <w:rsid w:val="003E7F5C"/>
    <w:rsid w:val="00400550"/>
    <w:rsid w:val="00401E1A"/>
    <w:rsid w:val="004067E6"/>
    <w:rsid w:val="004205D4"/>
    <w:rsid w:val="00425C07"/>
    <w:rsid w:val="00430A7E"/>
    <w:rsid w:val="00431AF2"/>
    <w:rsid w:val="0043202C"/>
    <w:rsid w:val="00436BAB"/>
    <w:rsid w:val="004439EA"/>
    <w:rsid w:val="004451DC"/>
    <w:rsid w:val="0045040D"/>
    <w:rsid w:val="004559C0"/>
    <w:rsid w:val="00456148"/>
    <w:rsid w:val="00460830"/>
    <w:rsid w:val="00460923"/>
    <w:rsid w:val="00483E57"/>
    <w:rsid w:val="00487465"/>
    <w:rsid w:val="004915A4"/>
    <w:rsid w:val="00491C26"/>
    <w:rsid w:val="00492CEC"/>
    <w:rsid w:val="004B06CB"/>
    <w:rsid w:val="004B2397"/>
    <w:rsid w:val="004B23F0"/>
    <w:rsid w:val="004B2B10"/>
    <w:rsid w:val="004B6546"/>
    <w:rsid w:val="004B6B67"/>
    <w:rsid w:val="004C1010"/>
    <w:rsid w:val="004C4D0C"/>
    <w:rsid w:val="004D0108"/>
    <w:rsid w:val="004F232A"/>
    <w:rsid w:val="004F7407"/>
    <w:rsid w:val="00501B12"/>
    <w:rsid w:val="00502A78"/>
    <w:rsid w:val="00510889"/>
    <w:rsid w:val="00510E87"/>
    <w:rsid w:val="00516FAC"/>
    <w:rsid w:val="00517E49"/>
    <w:rsid w:val="00524AD8"/>
    <w:rsid w:val="0053068F"/>
    <w:rsid w:val="00534CD9"/>
    <w:rsid w:val="00535FFE"/>
    <w:rsid w:val="00536B1E"/>
    <w:rsid w:val="005403CD"/>
    <w:rsid w:val="005456EC"/>
    <w:rsid w:val="00547E09"/>
    <w:rsid w:val="0055057B"/>
    <w:rsid w:val="00551F2D"/>
    <w:rsid w:val="00552AA8"/>
    <w:rsid w:val="00557DAC"/>
    <w:rsid w:val="0057552A"/>
    <w:rsid w:val="005761D6"/>
    <w:rsid w:val="00580DF4"/>
    <w:rsid w:val="005828F8"/>
    <w:rsid w:val="005A7210"/>
    <w:rsid w:val="005A748F"/>
    <w:rsid w:val="005B1A01"/>
    <w:rsid w:val="005B394E"/>
    <w:rsid w:val="005B648E"/>
    <w:rsid w:val="005B76A1"/>
    <w:rsid w:val="005C7062"/>
    <w:rsid w:val="005F0C49"/>
    <w:rsid w:val="005F1B80"/>
    <w:rsid w:val="005F21B0"/>
    <w:rsid w:val="0060041B"/>
    <w:rsid w:val="00604EB5"/>
    <w:rsid w:val="00605A4D"/>
    <w:rsid w:val="00606121"/>
    <w:rsid w:val="0060632A"/>
    <w:rsid w:val="00611AA6"/>
    <w:rsid w:val="00625BF8"/>
    <w:rsid w:val="00630AA3"/>
    <w:rsid w:val="00633BF3"/>
    <w:rsid w:val="006475AE"/>
    <w:rsid w:val="00647BAD"/>
    <w:rsid w:val="006635CD"/>
    <w:rsid w:val="00665F29"/>
    <w:rsid w:val="00682690"/>
    <w:rsid w:val="00682EB5"/>
    <w:rsid w:val="00683438"/>
    <w:rsid w:val="006846AB"/>
    <w:rsid w:val="00684E07"/>
    <w:rsid w:val="00695B40"/>
    <w:rsid w:val="00697F2A"/>
    <w:rsid w:val="006A44B0"/>
    <w:rsid w:val="006B0E34"/>
    <w:rsid w:val="006C7798"/>
    <w:rsid w:val="006C7D61"/>
    <w:rsid w:val="006F00B7"/>
    <w:rsid w:val="0071426C"/>
    <w:rsid w:val="00714AAA"/>
    <w:rsid w:val="00723C17"/>
    <w:rsid w:val="0072652D"/>
    <w:rsid w:val="00733B7C"/>
    <w:rsid w:val="007540C3"/>
    <w:rsid w:val="007554AF"/>
    <w:rsid w:val="00762568"/>
    <w:rsid w:val="007627A4"/>
    <w:rsid w:val="007658AE"/>
    <w:rsid w:val="00765C7C"/>
    <w:rsid w:val="00766075"/>
    <w:rsid w:val="00781848"/>
    <w:rsid w:val="007948AE"/>
    <w:rsid w:val="007A14D5"/>
    <w:rsid w:val="007A32F4"/>
    <w:rsid w:val="007A3E3E"/>
    <w:rsid w:val="007B1606"/>
    <w:rsid w:val="007D4D82"/>
    <w:rsid w:val="007E3972"/>
    <w:rsid w:val="007E54AE"/>
    <w:rsid w:val="007F6F53"/>
    <w:rsid w:val="00817E06"/>
    <w:rsid w:val="00822931"/>
    <w:rsid w:val="00822DF8"/>
    <w:rsid w:val="0082503B"/>
    <w:rsid w:val="008270CB"/>
    <w:rsid w:val="0084087E"/>
    <w:rsid w:val="008535C7"/>
    <w:rsid w:val="008603AF"/>
    <w:rsid w:val="008621C7"/>
    <w:rsid w:val="0086512D"/>
    <w:rsid w:val="008779F7"/>
    <w:rsid w:val="00890164"/>
    <w:rsid w:val="008957E2"/>
    <w:rsid w:val="008A64D6"/>
    <w:rsid w:val="008A65DA"/>
    <w:rsid w:val="008A6ADF"/>
    <w:rsid w:val="008B323A"/>
    <w:rsid w:val="008B7CC8"/>
    <w:rsid w:val="008C2419"/>
    <w:rsid w:val="008C4AF4"/>
    <w:rsid w:val="008C57FF"/>
    <w:rsid w:val="008D4F6F"/>
    <w:rsid w:val="008D569B"/>
    <w:rsid w:val="008E7983"/>
    <w:rsid w:val="008F0E78"/>
    <w:rsid w:val="00902C68"/>
    <w:rsid w:val="0090425F"/>
    <w:rsid w:val="00907D6C"/>
    <w:rsid w:val="00910A70"/>
    <w:rsid w:val="009124E6"/>
    <w:rsid w:val="00915735"/>
    <w:rsid w:val="0092061E"/>
    <w:rsid w:val="00930CC6"/>
    <w:rsid w:val="009314C4"/>
    <w:rsid w:val="00934306"/>
    <w:rsid w:val="00937F87"/>
    <w:rsid w:val="0094203B"/>
    <w:rsid w:val="00946DFC"/>
    <w:rsid w:val="00951BD1"/>
    <w:rsid w:val="009544ED"/>
    <w:rsid w:val="009548E2"/>
    <w:rsid w:val="00961133"/>
    <w:rsid w:val="00961F82"/>
    <w:rsid w:val="009630A6"/>
    <w:rsid w:val="0097288C"/>
    <w:rsid w:val="00975ACB"/>
    <w:rsid w:val="009A1A7A"/>
    <w:rsid w:val="009B63FE"/>
    <w:rsid w:val="009B7D5A"/>
    <w:rsid w:val="009C2098"/>
    <w:rsid w:val="009D0526"/>
    <w:rsid w:val="009D1395"/>
    <w:rsid w:val="009D4D2B"/>
    <w:rsid w:val="009E19CF"/>
    <w:rsid w:val="009E4653"/>
    <w:rsid w:val="009E4F14"/>
    <w:rsid w:val="009F56C0"/>
    <w:rsid w:val="00A023D4"/>
    <w:rsid w:val="00A043A6"/>
    <w:rsid w:val="00A070F9"/>
    <w:rsid w:val="00A130BD"/>
    <w:rsid w:val="00A20769"/>
    <w:rsid w:val="00A269D4"/>
    <w:rsid w:val="00A40A44"/>
    <w:rsid w:val="00A47765"/>
    <w:rsid w:val="00A51576"/>
    <w:rsid w:val="00A566EF"/>
    <w:rsid w:val="00A64D3E"/>
    <w:rsid w:val="00A762EC"/>
    <w:rsid w:val="00A85170"/>
    <w:rsid w:val="00A93E25"/>
    <w:rsid w:val="00A93F91"/>
    <w:rsid w:val="00A97EE5"/>
    <w:rsid w:val="00AA16F8"/>
    <w:rsid w:val="00AA561A"/>
    <w:rsid w:val="00AB5B28"/>
    <w:rsid w:val="00AD06C3"/>
    <w:rsid w:val="00AD243A"/>
    <w:rsid w:val="00AE0347"/>
    <w:rsid w:val="00AE690E"/>
    <w:rsid w:val="00AE6EA7"/>
    <w:rsid w:val="00AF0109"/>
    <w:rsid w:val="00AF2447"/>
    <w:rsid w:val="00AF5819"/>
    <w:rsid w:val="00B067BB"/>
    <w:rsid w:val="00B170D6"/>
    <w:rsid w:val="00B220E0"/>
    <w:rsid w:val="00B26DE7"/>
    <w:rsid w:val="00B339B0"/>
    <w:rsid w:val="00B468CC"/>
    <w:rsid w:val="00B507AD"/>
    <w:rsid w:val="00B634FC"/>
    <w:rsid w:val="00B63C54"/>
    <w:rsid w:val="00B72759"/>
    <w:rsid w:val="00B77773"/>
    <w:rsid w:val="00B80EFC"/>
    <w:rsid w:val="00B814FC"/>
    <w:rsid w:val="00B84BC1"/>
    <w:rsid w:val="00B91FF7"/>
    <w:rsid w:val="00B927C2"/>
    <w:rsid w:val="00B94C00"/>
    <w:rsid w:val="00B95512"/>
    <w:rsid w:val="00BA3B1A"/>
    <w:rsid w:val="00BA5F1F"/>
    <w:rsid w:val="00BB43EA"/>
    <w:rsid w:val="00BC2BAD"/>
    <w:rsid w:val="00BF2CDD"/>
    <w:rsid w:val="00BF3134"/>
    <w:rsid w:val="00C06850"/>
    <w:rsid w:val="00C10FCF"/>
    <w:rsid w:val="00C166A5"/>
    <w:rsid w:val="00C16AE8"/>
    <w:rsid w:val="00C26437"/>
    <w:rsid w:val="00C274AF"/>
    <w:rsid w:val="00C37281"/>
    <w:rsid w:val="00C37563"/>
    <w:rsid w:val="00C51EE1"/>
    <w:rsid w:val="00C53B24"/>
    <w:rsid w:val="00C55399"/>
    <w:rsid w:val="00C556C7"/>
    <w:rsid w:val="00C628F3"/>
    <w:rsid w:val="00C83787"/>
    <w:rsid w:val="00C86752"/>
    <w:rsid w:val="00C917A9"/>
    <w:rsid w:val="00C95CA0"/>
    <w:rsid w:val="00CA62AF"/>
    <w:rsid w:val="00CB34C7"/>
    <w:rsid w:val="00CB5F84"/>
    <w:rsid w:val="00CB77DA"/>
    <w:rsid w:val="00CD7AC7"/>
    <w:rsid w:val="00CE216D"/>
    <w:rsid w:val="00CE473B"/>
    <w:rsid w:val="00CF0997"/>
    <w:rsid w:val="00D00BC5"/>
    <w:rsid w:val="00D0448B"/>
    <w:rsid w:val="00D11B6B"/>
    <w:rsid w:val="00D12760"/>
    <w:rsid w:val="00D12D83"/>
    <w:rsid w:val="00D145DE"/>
    <w:rsid w:val="00D241C5"/>
    <w:rsid w:val="00D35D8C"/>
    <w:rsid w:val="00D61CA3"/>
    <w:rsid w:val="00D758EC"/>
    <w:rsid w:val="00D80FF0"/>
    <w:rsid w:val="00D82FE4"/>
    <w:rsid w:val="00D924AD"/>
    <w:rsid w:val="00D96B46"/>
    <w:rsid w:val="00DA3937"/>
    <w:rsid w:val="00DA4621"/>
    <w:rsid w:val="00DC4256"/>
    <w:rsid w:val="00DD56A8"/>
    <w:rsid w:val="00DF4761"/>
    <w:rsid w:val="00DF509A"/>
    <w:rsid w:val="00DF7BB2"/>
    <w:rsid w:val="00E00C27"/>
    <w:rsid w:val="00E00D54"/>
    <w:rsid w:val="00E06DB6"/>
    <w:rsid w:val="00E114D8"/>
    <w:rsid w:val="00E32401"/>
    <w:rsid w:val="00E35ADD"/>
    <w:rsid w:val="00E51515"/>
    <w:rsid w:val="00E6160C"/>
    <w:rsid w:val="00E735A1"/>
    <w:rsid w:val="00E83360"/>
    <w:rsid w:val="00E8566A"/>
    <w:rsid w:val="00E96B44"/>
    <w:rsid w:val="00EA4B29"/>
    <w:rsid w:val="00EA4D17"/>
    <w:rsid w:val="00EB2BD3"/>
    <w:rsid w:val="00EB37E2"/>
    <w:rsid w:val="00EC22B4"/>
    <w:rsid w:val="00EC4BB5"/>
    <w:rsid w:val="00ED1114"/>
    <w:rsid w:val="00ED7D54"/>
    <w:rsid w:val="00EE164B"/>
    <w:rsid w:val="00EE3A7E"/>
    <w:rsid w:val="00EF254E"/>
    <w:rsid w:val="00EF6850"/>
    <w:rsid w:val="00F01E93"/>
    <w:rsid w:val="00F03BA8"/>
    <w:rsid w:val="00F0492A"/>
    <w:rsid w:val="00F2346E"/>
    <w:rsid w:val="00F273B0"/>
    <w:rsid w:val="00F31F52"/>
    <w:rsid w:val="00F33044"/>
    <w:rsid w:val="00F37C4D"/>
    <w:rsid w:val="00F466F6"/>
    <w:rsid w:val="00F56AE2"/>
    <w:rsid w:val="00F61155"/>
    <w:rsid w:val="00F829FA"/>
    <w:rsid w:val="00F904F8"/>
    <w:rsid w:val="00F92301"/>
    <w:rsid w:val="00FA0722"/>
    <w:rsid w:val="00FC7E6D"/>
    <w:rsid w:val="00FD005A"/>
    <w:rsid w:val="00FD42F2"/>
    <w:rsid w:val="00FE0FF9"/>
    <w:rsid w:val="00FF3B02"/>
    <w:rsid w:val="00FF4AE1"/>
    <w:rsid w:val="29796E82"/>
    <w:rsid w:val="396E2F6A"/>
    <w:rsid w:val="40514D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lsdException w:name="footer" w:semiHidden="0" w:uiPriority="99" w:unhideWhenUsed="0"/>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semiHidden="0"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4"/>
    <w:pPr>
      <w:widowControl w:val="0"/>
      <w:ind w:firstLineChars="200" w:firstLine="200"/>
      <w:jc w:val="both"/>
    </w:pPr>
    <w:rPr>
      <w:rFonts w:eastAsia="仿宋_GB2312"/>
      <w:kern w:val="2"/>
      <w:sz w:val="28"/>
      <w:szCs w:val="22"/>
    </w:rPr>
  </w:style>
  <w:style w:type="paragraph" w:styleId="2">
    <w:name w:val="heading 2"/>
    <w:basedOn w:val="a"/>
    <w:next w:val="a"/>
    <w:link w:val="2Char"/>
    <w:qFormat/>
    <w:rsid w:val="00C53B24"/>
    <w:pPr>
      <w:keepNext/>
      <w:keepLines/>
      <w:ind w:firstLineChars="0" w:firstLine="0"/>
      <w:jc w:val="center"/>
      <w:outlineLvl w:val="1"/>
    </w:pPr>
    <w:rPr>
      <w:rFonts w:ascii="Cambria" w:eastAsia="宋体" w:hAnsi="Cambria"/>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C53B24"/>
    <w:pPr>
      <w:jc w:val="left"/>
    </w:pPr>
  </w:style>
  <w:style w:type="paragraph" w:styleId="a4">
    <w:name w:val="Balloon Text"/>
    <w:basedOn w:val="a"/>
    <w:link w:val="Char0"/>
    <w:qFormat/>
    <w:rsid w:val="00C53B24"/>
    <w:rPr>
      <w:sz w:val="18"/>
      <w:szCs w:val="18"/>
    </w:rPr>
  </w:style>
  <w:style w:type="paragraph" w:styleId="a5">
    <w:name w:val="footer"/>
    <w:basedOn w:val="a"/>
    <w:link w:val="Char1"/>
    <w:uiPriority w:val="99"/>
    <w:rsid w:val="00C53B24"/>
    <w:pPr>
      <w:tabs>
        <w:tab w:val="center" w:pos="4153"/>
        <w:tab w:val="right" w:pos="8306"/>
      </w:tabs>
      <w:snapToGrid w:val="0"/>
      <w:jc w:val="left"/>
    </w:pPr>
    <w:rPr>
      <w:sz w:val="18"/>
      <w:szCs w:val="18"/>
    </w:rPr>
  </w:style>
  <w:style w:type="paragraph" w:styleId="a6">
    <w:name w:val="header"/>
    <w:basedOn w:val="a"/>
    <w:link w:val="Char2"/>
    <w:rsid w:val="00C53B24"/>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qFormat/>
    <w:rsid w:val="00C53B24"/>
    <w:rPr>
      <w:b/>
      <w:bCs/>
    </w:rPr>
  </w:style>
  <w:style w:type="table" w:styleId="a8">
    <w:name w:val="Table Grid"/>
    <w:basedOn w:val="a1"/>
    <w:qFormat/>
    <w:rsid w:val="00C53B24"/>
    <w:pPr>
      <w:widowControl w:val="0"/>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unhideWhenUsed/>
    <w:qFormat/>
    <w:rsid w:val="00C53B24"/>
    <w:rPr>
      <w:sz w:val="21"/>
      <w:szCs w:val="21"/>
    </w:rPr>
  </w:style>
  <w:style w:type="character" w:customStyle="1" w:styleId="2Char">
    <w:name w:val="标题 2 Char"/>
    <w:link w:val="2"/>
    <w:locked/>
    <w:rsid w:val="00C53B24"/>
    <w:rPr>
      <w:rFonts w:ascii="Cambria" w:eastAsia="宋体" w:hAnsi="Cambria"/>
      <w:b/>
      <w:bCs/>
      <w:kern w:val="2"/>
      <w:sz w:val="36"/>
      <w:szCs w:val="32"/>
      <w:lang w:val="en-US" w:eastAsia="zh-CN" w:bidi="ar-SA"/>
    </w:rPr>
  </w:style>
  <w:style w:type="paragraph" w:customStyle="1" w:styleId="1">
    <w:name w:val="无间隔1"/>
    <w:qFormat/>
    <w:rsid w:val="00C53B24"/>
    <w:pPr>
      <w:widowControl w:val="0"/>
      <w:jc w:val="center"/>
    </w:pPr>
    <w:rPr>
      <w:rFonts w:eastAsia="仿宋_GB2312"/>
      <w:kern w:val="2"/>
      <w:sz w:val="28"/>
      <w:szCs w:val="22"/>
    </w:rPr>
  </w:style>
  <w:style w:type="character" w:customStyle="1" w:styleId="Char2">
    <w:name w:val="页眉 Char"/>
    <w:link w:val="a6"/>
    <w:rsid w:val="00C53B24"/>
    <w:rPr>
      <w:rFonts w:eastAsia="仿宋_GB2312"/>
      <w:kern w:val="2"/>
      <w:sz w:val="18"/>
      <w:szCs w:val="18"/>
    </w:rPr>
  </w:style>
  <w:style w:type="character" w:customStyle="1" w:styleId="Char1">
    <w:name w:val="页脚 Char"/>
    <w:link w:val="a5"/>
    <w:uiPriority w:val="99"/>
    <w:rsid w:val="00C53B24"/>
    <w:rPr>
      <w:rFonts w:eastAsia="仿宋_GB2312"/>
      <w:kern w:val="2"/>
      <w:sz w:val="18"/>
      <w:szCs w:val="18"/>
    </w:rPr>
  </w:style>
  <w:style w:type="character" w:customStyle="1" w:styleId="Char">
    <w:name w:val="批注文字 Char"/>
    <w:basedOn w:val="a0"/>
    <w:link w:val="a3"/>
    <w:semiHidden/>
    <w:qFormat/>
    <w:rsid w:val="00C53B24"/>
    <w:rPr>
      <w:rFonts w:eastAsia="仿宋_GB2312"/>
      <w:kern w:val="2"/>
      <w:sz w:val="28"/>
      <w:szCs w:val="22"/>
    </w:rPr>
  </w:style>
  <w:style w:type="character" w:customStyle="1" w:styleId="Char3">
    <w:name w:val="批注主题 Char"/>
    <w:basedOn w:val="Char"/>
    <w:link w:val="a7"/>
    <w:semiHidden/>
    <w:qFormat/>
    <w:rsid w:val="00C53B24"/>
    <w:rPr>
      <w:rFonts w:eastAsia="仿宋_GB2312"/>
      <w:b/>
      <w:bCs/>
      <w:kern w:val="2"/>
      <w:sz w:val="28"/>
      <w:szCs w:val="22"/>
    </w:rPr>
  </w:style>
  <w:style w:type="character" w:customStyle="1" w:styleId="Char0">
    <w:name w:val="批注框文本 Char"/>
    <w:basedOn w:val="a0"/>
    <w:link w:val="a4"/>
    <w:qFormat/>
    <w:rsid w:val="00C53B2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4044</Words>
  <Characters>343</Characters>
  <Application>Microsoft Office Word</Application>
  <DocSecurity>0</DocSecurity>
  <Lines>2</Lines>
  <Paragraphs>8</Paragraphs>
  <ScaleCrop>false</ScaleCrop>
  <Company>北京源隆会计师事务所有限责任公司</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部门整体支出绩效目标申报表</dc:title>
  <dc:creator>徐富龙</dc:creator>
  <cp:lastModifiedBy>北京市西城区展览路街道社区服务中心</cp:lastModifiedBy>
  <cp:revision>4</cp:revision>
  <cp:lastPrinted>2013-06-18T11:17:00Z</cp:lastPrinted>
  <dcterms:created xsi:type="dcterms:W3CDTF">2021-02-03T10:00:00Z</dcterms:created>
  <dcterms:modified xsi:type="dcterms:W3CDTF">2021-02-05T01:19:00Z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