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eastAsia="方正小标宋简体"/>
          <w:sz w:val="44"/>
          <w:szCs w:val="44"/>
        </w:rPr>
      </w:pPr>
    </w:p>
    <w:p>
      <w:pPr>
        <w:spacing w:line="720" w:lineRule="exact"/>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北京市西城区红十字会2021年部门预算</w:t>
      </w:r>
    </w:p>
    <w:p>
      <w:pPr>
        <w:spacing w:line="720" w:lineRule="exact"/>
        <w:jc w:val="center"/>
        <w:rPr>
          <w:rFonts w:ascii="方正小标宋简体" w:eastAsia="方正小标宋简体"/>
          <w:sz w:val="44"/>
          <w:szCs w:val="44"/>
        </w:rPr>
      </w:pPr>
    </w:p>
    <w:p>
      <w:pPr>
        <w:spacing w:line="720" w:lineRule="exact"/>
        <w:jc w:val="center"/>
        <w:rPr>
          <w:rFonts w:ascii="方正小标宋简体" w:eastAsia="方正小标宋简体"/>
          <w:sz w:val="32"/>
          <w:szCs w:val="32"/>
        </w:rPr>
      </w:pPr>
      <w:r>
        <w:rPr>
          <w:rFonts w:hint="eastAsia" w:ascii="方正小标宋简体" w:eastAsia="方正小标宋简体"/>
          <w:sz w:val="32"/>
          <w:szCs w:val="32"/>
        </w:rPr>
        <w:t>目  录</w:t>
      </w:r>
    </w:p>
    <w:p>
      <w:pPr>
        <w:pStyle w:val="9"/>
        <w:rPr>
          <w:rStyle w:val="14"/>
          <w:rFonts w:ascii="黑体" w:hAnsi="黑体"/>
          <w:sz w:val="24"/>
          <w:szCs w:val="24"/>
        </w:rPr>
      </w:pPr>
    </w:p>
    <w:p>
      <w:pPr>
        <w:pStyle w:val="9"/>
        <w:tabs>
          <w:tab w:val="right" w:leader="dot" w:pos="8306"/>
          <w:tab w:val="clear" w:pos="8296"/>
        </w:tabs>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TOC \o "1-3" \h \z \u </w:instrText>
      </w:r>
      <w:r>
        <w:rPr>
          <w:rFonts w:hint="eastAsia" w:asciiTheme="minorEastAsia" w:hAnsiTheme="minorEastAsia" w:cstheme="minorEastAsia"/>
          <w:sz w:val="28"/>
          <w:szCs w:val="28"/>
        </w:rPr>
        <w:fldChar w:fldCharType="separate"/>
      </w:r>
      <w:r>
        <w:fldChar w:fldCharType="begin"/>
      </w:r>
      <w:r>
        <w:instrText xml:space="preserve"> HYPERLINK \l "_Toc31828" </w:instrText>
      </w:r>
      <w:r>
        <w:fldChar w:fldCharType="separate"/>
      </w:r>
      <w:r>
        <w:rPr>
          <w:rFonts w:hint="eastAsia" w:asciiTheme="minorEastAsia" w:hAnsiTheme="minorEastAsia" w:cstheme="minorEastAsia"/>
          <w:sz w:val="28"/>
          <w:szCs w:val="28"/>
        </w:rPr>
        <w:t>第一部分  2021年部门预算情况说明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_Toc31828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10"/>
        <w:tabs>
          <w:tab w:val="right" w:leader="dot" w:pos="8306"/>
        </w:tabs>
        <w:rPr>
          <w:rFonts w:asciiTheme="minorEastAsia" w:hAnsiTheme="minorEastAsia" w:cstheme="minorEastAsia"/>
          <w:sz w:val="28"/>
          <w:szCs w:val="28"/>
        </w:rPr>
      </w:pPr>
      <w:r>
        <w:fldChar w:fldCharType="begin"/>
      </w:r>
      <w:r>
        <w:instrText xml:space="preserve"> HYPERLINK \l "_Toc29470" </w:instrText>
      </w:r>
      <w:r>
        <w:fldChar w:fldCharType="separate"/>
      </w:r>
      <w:r>
        <w:rPr>
          <w:rFonts w:hint="eastAsia" w:asciiTheme="minorEastAsia" w:hAnsiTheme="minorEastAsia" w:cstheme="minorEastAsia"/>
          <w:sz w:val="28"/>
          <w:szCs w:val="28"/>
        </w:rPr>
        <w:t>一、部门主要职责及机构设置情</w:t>
      </w:r>
      <w:bookmarkStart w:id="31" w:name="_GoBack"/>
      <w:bookmarkEnd w:id="31"/>
      <w:r>
        <w:rPr>
          <w:rFonts w:hint="eastAsia" w:asciiTheme="minorEastAsia" w:hAnsiTheme="minorEastAsia" w:cstheme="minorEastAsia"/>
          <w:sz w:val="28"/>
          <w:szCs w:val="28"/>
        </w:rPr>
        <w:t>况</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_Toc29470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"_Toc17892" </w:instrText>
      </w:r>
      <w:r>
        <w:fldChar w:fldCharType="separate"/>
      </w:r>
      <w:r>
        <w:rPr>
          <w:rFonts w:hint="eastAsia" w:asciiTheme="minorEastAsia" w:hAnsiTheme="minorEastAsia" w:cstheme="minorEastAsia"/>
          <w:sz w:val="28"/>
          <w:szCs w:val="28"/>
        </w:rPr>
        <w:t>（一）部门机构设置、职责</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_Toc17892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"_Toc12372" </w:instrText>
      </w:r>
      <w:r>
        <w:fldChar w:fldCharType="separate"/>
      </w:r>
      <w:r>
        <w:rPr>
          <w:rFonts w:hint="eastAsia" w:asciiTheme="minorEastAsia" w:hAnsiTheme="minorEastAsia" w:cstheme="minorEastAsia"/>
          <w:sz w:val="28"/>
          <w:szCs w:val="28"/>
        </w:rPr>
        <w:t>（二）人员构成情况</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_Toc12372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10"/>
        <w:tabs>
          <w:tab w:val="right" w:leader="dot" w:pos="8306"/>
        </w:tabs>
        <w:rPr>
          <w:rFonts w:asciiTheme="minorEastAsia" w:hAnsiTheme="minorEastAsia" w:cstheme="minorEastAsia"/>
          <w:sz w:val="28"/>
          <w:szCs w:val="28"/>
        </w:rPr>
      </w:pPr>
      <w:r>
        <w:fldChar w:fldCharType="begin"/>
      </w:r>
      <w:r>
        <w:instrText xml:space="preserve"> HYPERLINK \l "_Toc28714" </w:instrText>
      </w:r>
      <w:r>
        <w:fldChar w:fldCharType="separate"/>
      </w:r>
      <w:r>
        <w:rPr>
          <w:rFonts w:hint="eastAsia" w:asciiTheme="minorEastAsia" w:hAnsiTheme="minorEastAsia" w:cstheme="minorEastAsia"/>
          <w:sz w:val="28"/>
          <w:szCs w:val="28"/>
        </w:rPr>
        <w:t>二、2021年部门预算收支及增减变化情况说明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_Toc28714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10"/>
        <w:tabs>
          <w:tab w:val="right" w:leader="dot" w:pos="8306"/>
        </w:tabs>
        <w:rPr>
          <w:rFonts w:asciiTheme="minorEastAsia" w:hAnsiTheme="minorEastAsia" w:cstheme="minorEastAsia"/>
          <w:sz w:val="28"/>
          <w:szCs w:val="28"/>
        </w:rPr>
      </w:pPr>
      <w:r>
        <w:fldChar w:fldCharType="begin"/>
      </w:r>
      <w:r>
        <w:instrText xml:space="preserve"> HYPERLINK \l "_Toc31973" </w:instrText>
      </w:r>
      <w:r>
        <w:fldChar w:fldCharType="separate"/>
      </w:r>
      <w:r>
        <w:rPr>
          <w:rFonts w:hint="eastAsia" w:asciiTheme="minorEastAsia" w:hAnsiTheme="minorEastAsia" w:cstheme="minorEastAsia"/>
          <w:sz w:val="28"/>
          <w:szCs w:val="28"/>
        </w:rPr>
        <w:t>三、主要支出情况</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_Toc31973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10"/>
        <w:tabs>
          <w:tab w:val="right" w:leader="dot" w:pos="8306"/>
        </w:tabs>
        <w:rPr>
          <w:rFonts w:asciiTheme="minorEastAsia" w:hAnsiTheme="minorEastAsia" w:cstheme="minorEastAsia"/>
          <w:sz w:val="28"/>
          <w:szCs w:val="28"/>
        </w:rPr>
      </w:pPr>
      <w:r>
        <w:fldChar w:fldCharType="begin"/>
      </w:r>
      <w:r>
        <w:instrText xml:space="preserve"> HYPERLINK \l "_Toc21743" </w:instrText>
      </w:r>
      <w:r>
        <w:fldChar w:fldCharType="separate"/>
      </w:r>
      <w:r>
        <w:rPr>
          <w:rFonts w:hint="eastAsia" w:asciiTheme="minorEastAsia" w:hAnsiTheme="minorEastAsia" w:cstheme="minorEastAsia"/>
          <w:sz w:val="28"/>
          <w:szCs w:val="28"/>
        </w:rPr>
        <w:t>四、部门“三公”经费财政拨款预算说明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_Toc21743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"_Toc26957" </w:instrText>
      </w:r>
      <w:r>
        <w:fldChar w:fldCharType="separate"/>
      </w:r>
      <w:r>
        <w:rPr>
          <w:rFonts w:hint="eastAsia" w:asciiTheme="minorEastAsia" w:hAnsiTheme="minorEastAsia" w:cstheme="minorEastAsia"/>
          <w:sz w:val="28"/>
          <w:szCs w:val="28"/>
        </w:rPr>
        <w:t>（一）“三公”经费的单位范围</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_Toc26957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"_Toc20783" </w:instrText>
      </w:r>
      <w:r>
        <w:fldChar w:fldCharType="separate"/>
      </w:r>
      <w:r>
        <w:rPr>
          <w:rFonts w:hint="eastAsia" w:asciiTheme="minorEastAsia" w:hAnsiTheme="minorEastAsia" w:cstheme="minorEastAsia"/>
          <w:sz w:val="28"/>
          <w:szCs w:val="28"/>
        </w:rPr>
        <w:t>（二）“三公”经费预算财政拨款情况说明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_Toc20783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"_Toc31557" </w:instrText>
      </w:r>
      <w:r>
        <w:fldChar w:fldCharType="separate"/>
      </w:r>
      <w:r>
        <w:rPr>
          <w:rFonts w:hint="eastAsia" w:asciiTheme="minorEastAsia" w:hAnsiTheme="minorEastAsia" w:cstheme="minorEastAsia"/>
          <w:sz w:val="28"/>
          <w:szCs w:val="28"/>
        </w:rPr>
        <w:t>（三）关于2021年度部门预算中“三公”经费财政拨款预算与上年比增减情况及原因的说明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_Toc31557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10"/>
        <w:tabs>
          <w:tab w:val="right" w:leader="dot" w:pos="8306"/>
        </w:tabs>
        <w:rPr>
          <w:rFonts w:asciiTheme="minorEastAsia" w:hAnsiTheme="minorEastAsia" w:cstheme="minorEastAsia"/>
          <w:sz w:val="28"/>
          <w:szCs w:val="28"/>
        </w:rPr>
      </w:pPr>
      <w:r>
        <w:fldChar w:fldCharType="begin"/>
      </w:r>
      <w:r>
        <w:instrText xml:space="preserve"> HYPERLINK \l "_Toc9665" </w:instrText>
      </w:r>
      <w:r>
        <w:fldChar w:fldCharType="separate"/>
      </w:r>
      <w:r>
        <w:rPr>
          <w:rFonts w:hint="eastAsia" w:asciiTheme="minorEastAsia" w:hAnsiTheme="minorEastAsia" w:cstheme="minorEastAsia"/>
          <w:sz w:val="28"/>
          <w:szCs w:val="28"/>
        </w:rPr>
        <w:t>五、其他情况说明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_Toc9665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"_Toc575" </w:instrText>
      </w:r>
      <w:r>
        <w:fldChar w:fldCharType="separate"/>
      </w:r>
      <w:r>
        <w:rPr>
          <w:rFonts w:hint="eastAsia" w:asciiTheme="minorEastAsia" w:hAnsiTheme="minorEastAsia" w:cstheme="minorEastAsia"/>
          <w:sz w:val="28"/>
          <w:szCs w:val="28"/>
        </w:rPr>
        <w:t>（一）机构运行经费说明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_Toc575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"_Toc5732" </w:instrText>
      </w:r>
      <w:r>
        <w:fldChar w:fldCharType="separate"/>
      </w:r>
      <w:r>
        <w:rPr>
          <w:rFonts w:hint="eastAsia" w:asciiTheme="minorEastAsia" w:hAnsiTheme="minorEastAsia" w:cstheme="minorEastAsia"/>
          <w:sz w:val="28"/>
          <w:szCs w:val="28"/>
        </w:rPr>
        <w:t>（二）政府采购预算说明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_Toc5732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"_Toc25802" </w:instrText>
      </w:r>
      <w:r>
        <w:fldChar w:fldCharType="separate"/>
      </w:r>
      <w:r>
        <w:rPr>
          <w:rFonts w:hint="eastAsia" w:asciiTheme="minorEastAsia" w:hAnsiTheme="minorEastAsia" w:cstheme="minorEastAsia"/>
          <w:sz w:val="28"/>
          <w:szCs w:val="28"/>
        </w:rPr>
        <w:t>（三）政府购买服务预算说明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_Toc25802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"_Toc521" </w:instrText>
      </w:r>
      <w:r>
        <w:fldChar w:fldCharType="separate"/>
      </w:r>
      <w:r>
        <w:rPr>
          <w:rFonts w:hint="eastAsia" w:asciiTheme="minorEastAsia" w:hAnsiTheme="minorEastAsia" w:cstheme="minorEastAsia"/>
          <w:sz w:val="28"/>
          <w:szCs w:val="28"/>
        </w:rPr>
        <w:t>（四）绩效目标情况及绩效评价结果说明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_Toc521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"_Toc22060" </w:instrText>
      </w:r>
      <w:r>
        <w:fldChar w:fldCharType="separate"/>
      </w:r>
      <w:r>
        <w:rPr>
          <w:rFonts w:hint="eastAsia" w:asciiTheme="minorEastAsia" w:hAnsiTheme="minorEastAsia" w:cstheme="minorEastAsia"/>
          <w:sz w:val="28"/>
          <w:szCs w:val="28"/>
        </w:rPr>
        <w:t>（五）国有资本经营预算财政拨款情况说明：无</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_Toc22060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"_Toc18063" </w:instrText>
      </w:r>
      <w:r>
        <w:fldChar w:fldCharType="separate"/>
      </w:r>
      <w:r>
        <w:rPr>
          <w:rFonts w:hint="eastAsia" w:asciiTheme="minorEastAsia" w:hAnsiTheme="minorEastAsia" w:cstheme="minorEastAsia"/>
          <w:sz w:val="28"/>
          <w:szCs w:val="28"/>
        </w:rPr>
        <w:t>（六）国有资产占用情况说明</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_Toc18063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10"/>
        <w:tabs>
          <w:tab w:val="right" w:leader="dot" w:pos="8306"/>
        </w:tabs>
        <w:rPr>
          <w:rFonts w:asciiTheme="minorEastAsia" w:hAnsiTheme="minorEastAsia" w:cstheme="minorEastAsia"/>
          <w:sz w:val="28"/>
          <w:szCs w:val="28"/>
        </w:rPr>
      </w:pPr>
      <w:r>
        <w:fldChar w:fldCharType="begin"/>
      </w:r>
      <w:r>
        <w:instrText xml:space="preserve"> HYPERLINK \l "_Toc7603" </w:instrText>
      </w:r>
      <w:r>
        <w:fldChar w:fldCharType="separate"/>
      </w:r>
      <w:r>
        <w:rPr>
          <w:rFonts w:hint="eastAsia" w:asciiTheme="minorEastAsia" w:hAnsiTheme="minorEastAsia" w:cstheme="minorEastAsia"/>
          <w:sz w:val="28"/>
          <w:szCs w:val="28"/>
        </w:rPr>
        <w:t>六、名词解释</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_Toc7603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9"/>
        <w:tabs>
          <w:tab w:val="right" w:leader="dot" w:pos="8306"/>
          <w:tab w:val="clear" w:pos="8296"/>
        </w:tabs>
        <w:rPr>
          <w:rFonts w:asciiTheme="minorEastAsia" w:hAnsiTheme="minorEastAsia" w:cstheme="minorEastAsia"/>
          <w:sz w:val="28"/>
          <w:szCs w:val="28"/>
        </w:rPr>
      </w:pPr>
      <w:r>
        <w:fldChar w:fldCharType="begin"/>
      </w:r>
      <w:r>
        <w:instrText xml:space="preserve"> HYPERLINK \l "_Toc4946" </w:instrText>
      </w:r>
      <w:r>
        <w:fldChar w:fldCharType="separate"/>
      </w:r>
      <w:r>
        <w:rPr>
          <w:rFonts w:hint="eastAsia" w:asciiTheme="minorEastAsia" w:hAnsiTheme="minorEastAsia" w:cstheme="minorEastAsia"/>
          <w:sz w:val="28"/>
          <w:szCs w:val="28"/>
        </w:rPr>
        <w:t>第二部分  2021年部门预算表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_Toc4946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"_Toc9601" </w:instrText>
      </w:r>
      <w:r>
        <w:fldChar w:fldCharType="separate"/>
      </w:r>
      <w:r>
        <w:rPr>
          <w:rFonts w:hint="eastAsia" w:asciiTheme="minorEastAsia" w:hAnsiTheme="minorEastAsia" w:cstheme="minorEastAsia"/>
          <w:sz w:val="28"/>
          <w:szCs w:val="28"/>
        </w:rPr>
        <w:t>表一：部门收支总体情况表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_Toc9601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"_Toc10555" </w:instrText>
      </w:r>
      <w:r>
        <w:fldChar w:fldCharType="separate"/>
      </w:r>
      <w:r>
        <w:rPr>
          <w:rFonts w:hint="eastAsia" w:asciiTheme="minorEastAsia" w:hAnsiTheme="minorEastAsia" w:cstheme="minorEastAsia"/>
          <w:sz w:val="28"/>
          <w:szCs w:val="28"/>
        </w:rPr>
        <w:t>表二：部门收入总体情况表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_Toc10555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"_Toc29932" </w:instrText>
      </w:r>
      <w:r>
        <w:fldChar w:fldCharType="separate"/>
      </w:r>
      <w:r>
        <w:rPr>
          <w:rFonts w:hint="eastAsia" w:asciiTheme="minorEastAsia" w:hAnsiTheme="minorEastAsia" w:cstheme="minorEastAsia"/>
          <w:sz w:val="28"/>
          <w:szCs w:val="28"/>
        </w:rPr>
        <w:t>表三：部门支出总体情况表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_Toc29932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"_Toc15403" </w:instrText>
      </w:r>
      <w:r>
        <w:fldChar w:fldCharType="separate"/>
      </w:r>
      <w:r>
        <w:rPr>
          <w:rFonts w:hint="eastAsia" w:asciiTheme="minorEastAsia" w:hAnsiTheme="minorEastAsia" w:cstheme="minorEastAsia"/>
          <w:sz w:val="28"/>
          <w:szCs w:val="28"/>
        </w:rPr>
        <w:t>表四：财政拨款收支总体情况表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_Toc15403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"_Toc6822" </w:instrText>
      </w:r>
      <w:r>
        <w:fldChar w:fldCharType="separate"/>
      </w:r>
      <w:r>
        <w:rPr>
          <w:rFonts w:hint="eastAsia" w:asciiTheme="minorEastAsia" w:hAnsiTheme="minorEastAsia" w:cstheme="minorEastAsia"/>
          <w:sz w:val="28"/>
          <w:szCs w:val="28"/>
        </w:rPr>
        <w:t>表五：一般公共预算支出情况表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_Toc6822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"_Toc2304" </w:instrText>
      </w:r>
      <w:r>
        <w:fldChar w:fldCharType="separate"/>
      </w:r>
      <w:r>
        <w:rPr>
          <w:rFonts w:hint="eastAsia" w:asciiTheme="minorEastAsia" w:hAnsiTheme="minorEastAsia" w:cstheme="minorEastAsia"/>
          <w:sz w:val="28"/>
          <w:szCs w:val="28"/>
        </w:rPr>
        <w:t>表六：一般公共预算基本支出情况表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_Toc2304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"_Toc27969" </w:instrText>
      </w:r>
      <w:r>
        <w:fldChar w:fldCharType="separate"/>
      </w:r>
      <w:r>
        <w:rPr>
          <w:rFonts w:hint="eastAsia" w:asciiTheme="minorEastAsia" w:hAnsiTheme="minorEastAsia" w:cstheme="minorEastAsia"/>
          <w:sz w:val="28"/>
          <w:szCs w:val="28"/>
        </w:rPr>
        <w:t>表七：一般公共预算“三公”经费支出情况表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_Toc27969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"_Toc3205" </w:instrText>
      </w:r>
      <w:r>
        <w:fldChar w:fldCharType="separate"/>
      </w:r>
      <w:r>
        <w:rPr>
          <w:rFonts w:hint="eastAsia" w:asciiTheme="minorEastAsia" w:hAnsiTheme="minorEastAsia" w:cstheme="minorEastAsia"/>
          <w:sz w:val="28"/>
          <w:szCs w:val="28"/>
        </w:rPr>
        <w:t>表八：政府性基金预算支出情况表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_Toc3205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"_Toc31956" </w:instrText>
      </w:r>
      <w:r>
        <w:fldChar w:fldCharType="separate"/>
      </w:r>
      <w:r>
        <w:rPr>
          <w:rFonts w:hint="eastAsia" w:asciiTheme="minorEastAsia" w:hAnsiTheme="minorEastAsia" w:cstheme="minorEastAsia"/>
          <w:sz w:val="28"/>
          <w:szCs w:val="28"/>
        </w:rPr>
        <w:t>表九：部门预算明细表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_Toc31956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5"/>
        <w:tabs>
          <w:tab w:val="right" w:leader="dot" w:pos="8306"/>
        </w:tabs>
        <w:rPr>
          <w:rFonts w:asciiTheme="minorEastAsia" w:hAnsiTheme="minorEastAsia" w:cstheme="minorEastAsia"/>
          <w:sz w:val="28"/>
          <w:szCs w:val="28"/>
        </w:rPr>
      </w:pPr>
      <w:r>
        <w:fldChar w:fldCharType="begin"/>
      </w:r>
      <w:r>
        <w:instrText xml:space="preserve"> HYPERLINK \l "_Toc27396" </w:instrText>
      </w:r>
      <w:r>
        <w:fldChar w:fldCharType="separate"/>
      </w:r>
      <w:r>
        <w:rPr>
          <w:rFonts w:hint="eastAsia" w:asciiTheme="minorEastAsia" w:hAnsiTheme="minorEastAsia" w:cstheme="minorEastAsia"/>
          <w:sz w:val="28"/>
          <w:szCs w:val="28"/>
        </w:rPr>
        <w:t>表十：专项转移支付预算表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_Toc27396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10"/>
        <w:tabs>
          <w:tab w:val="right" w:leader="dot" w:pos="8306"/>
        </w:tabs>
        <w:rPr>
          <w:rFonts w:asciiTheme="minorEastAsia" w:hAnsiTheme="minorEastAsia" w:cstheme="minorEastAsia"/>
          <w:sz w:val="28"/>
          <w:szCs w:val="28"/>
        </w:rPr>
      </w:pPr>
      <w:r>
        <w:fldChar w:fldCharType="begin"/>
      </w:r>
      <w:r>
        <w:instrText xml:space="preserve"> HYPERLINK \l "_Toc9932" </w:instrText>
      </w:r>
      <w:r>
        <w:fldChar w:fldCharType="separate"/>
      </w:r>
      <w:r>
        <w:rPr>
          <w:rFonts w:hint="eastAsia" w:asciiTheme="minorEastAsia" w:hAnsiTheme="minorEastAsia" w:cstheme="minorEastAsia"/>
          <w:sz w:val="28"/>
          <w:szCs w:val="28"/>
        </w:rPr>
        <w:t>表十一、部门整体支出绩效目标申报表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_Toc9932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10"/>
        <w:tabs>
          <w:tab w:val="right" w:leader="dot" w:pos="8306"/>
        </w:tabs>
        <w:rPr>
          <w:rFonts w:asciiTheme="minorEastAsia" w:hAnsiTheme="minorEastAsia" w:cstheme="minorEastAsia"/>
          <w:sz w:val="28"/>
          <w:szCs w:val="28"/>
        </w:rPr>
      </w:pPr>
      <w:r>
        <w:fldChar w:fldCharType="begin"/>
      </w:r>
      <w:r>
        <w:instrText xml:space="preserve"> HYPERLINK \l "_Toc21852" </w:instrText>
      </w:r>
      <w:r>
        <w:fldChar w:fldCharType="separate"/>
      </w:r>
      <w:r>
        <w:rPr>
          <w:rFonts w:hint="eastAsia" w:asciiTheme="minorEastAsia" w:hAnsiTheme="minorEastAsia" w:cstheme="minorEastAsia"/>
          <w:sz w:val="28"/>
          <w:szCs w:val="28"/>
        </w:rPr>
        <w:t>表十二、项目支出绩效目标申报表</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_Toc21852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fldChar w:fldCharType="end"/>
      </w: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pStyle w:val="2"/>
        <w:rPr>
          <w:rFonts w:ascii="黑体" w:hAnsi="黑体"/>
          <w:b w:val="0"/>
          <w:sz w:val="36"/>
          <w:szCs w:val="36"/>
        </w:rPr>
      </w:pPr>
      <w:bookmarkStart w:id="0" w:name="_Toc31828"/>
      <w:r>
        <w:rPr>
          <w:rFonts w:hint="eastAsia" w:ascii="黑体" w:hAnsi="黑体"/>
          <w:b w:val="0"/>
          <w:sz w:val="36"/>
          <w:szCs w:val="36"/>
        </w:rPr>
        <w:t>第一部分  2021年部门预算情况说明</w:t>
      </w:r>
      <w:bookmarkEnd w:id="0"/>
    </w:p>
    <w:p/>
    <w:p>
      <w:pPr>
        <w:pStyle w:val="3"/>
        <w:ind w:firstLine="640"/>
      </w:pPr>
      <w:bookmarkStart w:id="1" w:name="_Toc29470"/>
      <w:r>
        <w:rPr>
          <w:rFonts w:hint="eastAsia"/>
        </w:rPr>
        <w:t>一、部门主要职责及机构设置情况</w:t>
      </w:r>
      <w:bookmarkEnd w:id="1"/>
    </w:p>
    <w:p>
      <w:pPr>
        <w:pStyle w:val="4"/>
        <w:ind w:firstLine="640"/>
      </w:pPr>
      <w:bookmarkStart w:id="2" w:name="_Toc17892"/>
      <w:r>
        <w:rPr>
          <w:rFonts w:hint="eastAsia"/>
        </w:rPr>
        <w:t>（一）部门机构设置、职责</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是中国红十字会的地方组织，是从事人道主义救助工作的社会团体。主要职责是依照《中国红十字会法》协助政府从事人道主义社会救助工作，联系、组织社会各界力量，组织推动红十字志愿服务，开展备灾救灾、赈济救助、应急救援、应急救护培训及演练、红十字青少年、红十字社区服务、招募造血干细胞捐献志愿者、宣传义务献血，红十字国际、国内交流援助等人道主义工作，传播红十字运动，建立红十字组织，发展红十字事业。</w:t>
      </w:r>
    </w:p>
    <w:p>
      <w:pPr>
        <w:pStyle w:val="4"/>
        <w:ind w:firstLine="640"/>
      </w:pPr>
      <w:bookmarkStart w:id="3" w:name="_Toc12372"/>
      <w:r>
        <w:rPr>
          <w:rFonts w:hint="eastAsia"/>
        </w:rPr>
        <w:t>（二）人员构成情况</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西城区红十字会行政编制18人，实际17人，长期聘用临时工3人，退休人员7人。</w:t>
      </w:r>
    </w:p>
    <w:p>
      <w:pPr>
        <w:spacing w:line="560" w:lineRule="exact"/>
        <w:ind w:firstLine="640" w:firstLineChars="200"/>
        <w:rPr>
          <w:rFonts w:ascii="仿宋" w:hAnsi="仿宋" w:eastAsia="仿宋"/>
          <w:sz w:val="32"/>
          <w:szCs w:val="32"/>
        </w:rPr>
      </w:pPr>
    </w:p>
    <w:p>
      <w:pPr>
        <w:pStyle w:val="3"/>
        <w:ind w:firstLine="640"/>
      </w:pPr>
      <w:bookmarkStart w:id="4" w:name="_Toc28714"/>
      <w:r>
        <w:rPr>
          <w:rFonts w:hint="eastAsia"/>
        </w:rPr>
        <w:t>二、2021年部门预算收支及增减变化情况说明</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本单位2021年收入支出预算7,524,040.37元，全部为一般公共预算财政拨款，比2020年收支预算8,136,365.19元减少612324.82元,减少7.53%。减少的主要原因是职工退休产生空编并2021年按要求压减部分预算。</w:t>
      </w:r>
    </w:p>
    <w:p>
      <w:pPr>
        <w:spacing w:line="560" w:lineRule="exact"/>
        <w:ind w:firstLine="640" w:firstLineChars="200"/>
        <w:rPr>
          <w:rFonts w:ascii="仿宋" w:hAnsi="仿宋" w:eastAsia="仿宋"/>
          <w:sz w:val="32"/>
          <w:szCs w:val="32"/>
        </w:rPr>
      </w:pPr>
    </w:p>
    <w:p>
      <w:pPr>
        <w:pStyle w:val="3"/>
        <w:ind w:firstLine="640"/>
      </w:pPr>
      <w:bookmarkStart w:id="5" w:name="_Toc31973"/>
      <w:r>
        <w:rPr>
          <w:rFonts w:hint="eastAsia"/>
        </w:rPr>
        <w:t>三、主要支出情况</w:t>
      </w:r>
      <w:bookmarkEnd w:id="5"/>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（1）基本支出预算6051418.81 元，占总支出预算的80.43%,比2020年6262744.64元减少211325.83元，降低3.37%，主要原因是</w:t>
      </w:r>
      <w:r>
        <w:rPr>
          <w:rFonts w:hint="eastAsia" w:ascii="仿宋" w:hAnsi="仿宋" w:eastAsia="仿宋"/>
          <w:sz w:val="32"/>
          <w:szCs w:val="32"/>
        </w:rPr>
        <w:t>职工退休产生空编</w:t>
      </w:r>
      <w:r>
        <w:rPr>
          <w:rFonts w:hint="eastAsia" w:ascii="仿宋" w:hAnsi="仿宋" w:eastAsia="仿宋" w:cs="仿宋_GB2312"/>
          <w:sz w:val="32"/>
          <w:szCs w:val="32"/>
          <w:lang w:bidi="ar"/>
        </w:rPr>
        <w:t>。其中公用支出415280.31元，比2020年441786.64元减少25775.40元，降低6.86%，主要原因是</w:t>
      </w:r>
      <w:r>
        <w:rPr>
          <w:rFonts w:hint="eastAsia" w:ascii="仿宋" w:hAnsi="仿宋" w:eastAsia="仿宋"/>
          <w:sz w:val="32"/>
          <w:szCs w:val="32"/>
        </w:rPr>
        <w:t>职工退休产生空编</w:t>
      </w:r>
      <w:r>
        <w:rPr>
          <w:rFonts w:hint="eastAsia" w:ascii="仿宋" w:hAnsi="仿宋" w:eastAsia="仿宋" w:cs="仿宋_GB2312"/>
          <w:sz w:val="32"/>
          <w:szCs w:val="32"/>
          <w:lang w:bidi="ar"/>
        </w:rPr>
        <w:t>。</w:t>
      </w:r>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（2）项目支出预算1472621.56元，占总支出预算的19.57%。比2020年1873620.55元减少400998.99元，主要原因是按要求压减部分经费支出。2021年主要项目是</w:t>
      </w:r>
    </w:p>
    <w:tbl>
      <w:tblPr>
        <w:tblStyle w:val="11"/>
        <w:tblW w:w="5946" w:type="dxa"/>
        <w:jc w:val="center"/>
        <w:tblLayout w:type="autofit"/>
        <w:tblCellMar>
          <w:top w:w="0" w:type="dxa"/>
          <w:left w:w="0" w:type="dxa"/>
          <w:bottom w:w="0" w:type="dxa"/>
          <w:right w:w="0" w:type="dxa"/>
        </w:tblCellMar>
      </w:tblPr>
      <w:tblGrid>
        <w:gridCol w:w="1080"/>
        <w:gridCol w:w="2430"/>
        <w:gridCol w:w="2436"/>
      </w:tblGrid>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项目名称</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预算金额</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红十字理事会会议费</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10000.00 </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红十字专兼职干部培训</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44000.00 </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绩效自评工作经费</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37500.00 </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红十字志愿服务活动经费</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55000.00 </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造血干细胞工作站经费</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148000.00 </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公益文化建设经费</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601840.00 </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红十字青少年主题活动</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40000.00 </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应急救护知识普及工作</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496980.00 </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预留机动费</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39301.56 </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  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1472621.56 </w:t>
            </w:r>
          </w:p>
        </w:tc>
      </w:tr>
    </w:tbl>
    <w:p>
      <w:pPr>
        <w:spacing w:line="560" w:lineRule="exact"/>
        <w:ind w:firstLine="640" w:firstLineChars="200"/>
        <w:rPr>
          <w:rFonts w:ascii="仿宋" w:hAnsi="仿宋" w:eastAsia="仿宋" w:cs="仿宋_GB2312"/>
          <w:sz w:val="32"/>
          <w:szCs w:val="32"/>
          <w:lang w:bidi="ar"/>
        </w:rPr>
      </w:pPr>
    </w:p>
    <w:p>
      <w:pPr>
        <w:pStyle w:val="3"/>
        <w:ind w:firstLine="640"/>
      </w:pPr>
      <w:bookmarkStart w:id="6" w:name="_Toc21743"/>
      <w:r>
        <w:rPr>
          <w:rFonts w:hint="eastAsia"/>
        </w:rPr>
        <w:t>四、部门“三公”经费财政拨款预算说明</w:t>
      </w:r>
      <w:bookmarkEnd w:id="6"/>
    </w:p>
    <w:p>
      <w:pPr>
        <w:pStyle w:val="4"/>
        <w:ind w:firstLine="640"/>
      </w:pPr>
      <w:bookmarkStart w:id="7" w:name="_Toc26957"/>
      <w:r>
        <w:rPr>
          <w:rFonts w:hint="eastAsia"/>
        </w:rPr>
        <w:t>（一）“三公”经费的单位范围</w:t>
      </w:r>
      <w:bookmarkEnd w:id="7"/>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北京市西城区红十字会部门预算中因公出国（境）费、公务接待费、公务用车购置及运行维护费的支出单位包括1个所属单位，即北京市西城区红十字会。</w:t>
      </w:r>
    </w:p>
    <w:p>
      <w:pPr>
        <w:pStyle w:val="4"/>
        <w:ind w:firstLine="640"/>
      </w:pPr>
      <w:bookmarkStart w:id="8" w:name="_Toc20783"/>
      <w:r>
        <w:rPr>
          <w:rFonts w:hint="eastAsia"/>
        </w:rPr>
        <w:t>（二）“三公”经费预算财政拨款情况说明</w:t>
      </w:r>
      <w:bookmarkEnd w:id="8"/>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2021年部门预算“三公”经费财政拨款预算安排2488.23 元，其中：</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1.因公出国（境）费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2021年财政拨款预算安排0元。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2.公务接待费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2021年财政拨款预算安排2488.23 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3.公务用车购置及运行维护费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2021年本单位共有募捐救助专用车7辆，财政供养的公务用车0辆，财政拨款公务用车购置费和公务用车运行维护费预算安排均为0元。</w:t>
      </w:r>
    </w:p>
    <w:p>
      <w:pPr>
        <w:pStyle w:val="4"/>
        <w:ind w:firstLine="640"/>
      </w:pPr>
      <w:bookmarkStart w:id="9" w:name="_Toc31557"/>
      <w:r>
        <w:rPr>
          <w:rFonts w:hint="eastAsia"/>
        </w:rPr>
        <w:t>（三）关于2021年度部门预算中“三公”经费财政拨款预算与上年比增减情况及原因的说明</w:t>
      </w:r>
      <w:bookmarkEnd w:id="9"/>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2021年度“三公”经费财政拨款预算比2019年度预算减少250.53，原因是参与测算定额人数减少。</w:t>
      </w:r>
    </w:p>
    <w:p>
      <w:pPr>
        <w:spacing w:line="560" w:lineRule="exact"/>
        <w:ind w:firstLine="640" w:firstLineChars="200"/>
        <w:rPr>
          <w:rFonts w:ascii="仿宋" w:hAnsi="仿宋" w:eastAsia="仿宋" w:cs="仿宋_GB2312"/>
          <w:sz w:val="32"/>
          <w:szCs w:val="32"/>
        </w:rPr>
      </w:pPr>
    </w:p>
    <w:p>
      <w:pPr>
        <w:pStyle w:val="3"/>
        <w:ind w:firstLine="640"/>
      </w:pPr>
      <w:bookmarkStart w:id="10" w:name="_Toc9665"/>
      <w:r>
        <w:rPr>
          <w:rFonts w:hint="eastAsia"/>
        </w:rPr>
        <w:t>五、其他情况说明</w:t>
      </w:r>
      <w:bookmarkEnd w:id="10"/>
    </w:p>
    <w:p>
      <w:pPr>
        <w:pStyle w:val="4"/>
        <w:ind w:firstLine="640"/>
      </w:pPr>
      <w:bookmarkStart w:id="11" w:name="_Toc575"/>
      <w:r>
        <w:rPr>
          <w:rFonts w:hint="eastAsia"/>
        </w:rPr>
        <w:t>（一）机构运行经费说明</w:t>
      </w:r>
      <w:bookmarkEnd w:id="11"/>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2021年本部门（含下属单位）履行一般行政事业管理职能、维持机关运行，用于一般公共预算安排的行政运行经费，合计415280.31元，比2020年441786.64元减少25775.40元，降低6.86%，主要原因是职工退休产生空编</w:t>
      </w:r>
    </w:p>
    <w:p>
      <w:pPr>
        <w:pStyle w:val="4"/>
        <w:ind w:firstLine="640"/>
      </w:pPr>
      <w:bookmarkStart w:id="12" w:name="_Toc5732"/>
      <w:r>
        <w:rPr>
          <w:rFonts w:hint="eastAsia"/>
        </w:rPr>
        <w:t>（二）政府采购预算说明</w:t>
      </w:r>
      <w:bookmarkEnd w:id="12"/>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2021年涉及政府采购项目1个，红十字专兼职干部培训项目预算44000.00元。</w:t>
      </w:r>
    </w:p>
    <w:p>
      <w:pPr>
        <w:pStyle w:val="4"/>
        <w:ind w:firstLine="640"/>
      </w:pPr>
      <w:bookmarkStart w:id="13" w:name="_Toc25802"/>
      <w:r>
        <w:rPr>
          <w:rFonts w:hint="eastAsia"/>
        </w:rPr>
        <w:t>（三）政府购买服务预算说明</w:t>
      </w:r>
      <w:bookmarkEnd w:id="13"/>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2021年涉及政府购买服务项目0个，无预算资金安排。</w:t>
      </w:r>
    </w:p>
    <w:p>
      <w:pPr>
        <w:pStyle w:val="4"/>
        <w:ind w:firstLine="640"/>
      </w:pPr>
      <w:bookmarkStart w:id="14" w:name="_Toc521"/>
      <w:r>
        <w:rPr>
          <w:rFonts w:hint="eastAsia"/>
        </w:rPr>
        <w:t>（四）绩效目标情况及绩效评价结果说明</w:t>
      </w:r>
      <w:bookmarkEnd w:id="14"/>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聘请会计师事务所对2019年部门应急救护培训工作经费进行绩效自评，绩效级别评定为“良好”。发现的主要问题有：绩效目标申报的规范性不足、项目管理不规范、项目管理过程不够严谨，绩效跟踪工作不到位。提出的改进意见一是扎实推进绩效预算管理工作，提高绩效目标编制水平，二是进一步完善项目相关管理办法，加强项目过程的管理，三是进一步推进绩效跟踪工作，提高项目实施的社会效益。</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本单位2021年无100万元以上绩效考评项目，2021年部门整体绩效目标见附表。</w:t>
      </w:r>
    </w:p>
    <w:p>
      <w:pPr>
        <w:pStyle w:val="4"/>
        <w:ind w:firstLine="640"/>
      </w:pPr>
      <w:bookmarkStart w:id="15" w:name="_Toc22060"/>
      <w:r>
        <w:rPr>
          <w:rFonts w:hint="eastAsia"/>
        </w:rPr>
        <w:t>（五）国有资本经营预算财政拨款情况说明：无</w:t>
      </w:r>
      <w:bookmarkEnd w:id="15"/>
    </w:p>
    <w:p>
      <w:pPr>
        <w:pStyle w:val="4"/>
        <w:ind w:firstLine="640"/>
        <w:rPr>
          <w:rFonts w:ascii="仿宋_GB2312" w:hAnsi="仿宋" w:eastAsia="仿宋_GB2312"/>
          <w:bCs w:val="0"/>
        </w:rPr>
      </w:pPr>
      <w:bookmarkStart w:id="16" w:name="_Toc18063"/>
      <w:r>
        <w:rPr>
          <w:rFonts w:hint="eastAsia" w:ascii="仿宋_GB2312" w:hAnsi="仿宋" w:eastAsia="仿宋_GB2312"/>
          <w:bCs w:val="0"/>
        </w:rPr>
        <w:t>（六）国有资产占用情况说明</w:t>
      </w:r>
      <w:bookmarkEnd w:id="16"/>
    </w:p>
    <w:p>
      <w:pPr>
        <w:ind w:firstLine="640" w:firstLineChars="200"/>
        <w:rPr>
          <w:rFonts w:ascii="仿宋" w:hAnsi="仿宋" w:eastAsia="仿宋"/>
          <w:sz w:val="32"/>
          <w:szCs w:val="32"/>
        </w:rPr>
      </w:pPr>
      <w:r>
        <w:rPr>
          <w:rFonts w:hint="eastAsia" w:ascii="仿宋_GB2312" w:hAnsi="仿宋" w:eastAsia="仿宋_GB2312"/>
          <w:sz w:val="32"/>
          <w:szCs w:val="32"/>
        </w:rPr>
        <w:t>截止2020年底，本部门固定资产原值2285122.49元，固定资产累计折旧1156505.92元,固定资产净值1128616.57元,其中：车辆7台，原值267750.00元，累计折旧267750.00，为市红十字会划拨的募捐救助用车，属非财政供养车辆；单位价值50万元以上的通用设备0台</w:t>
      </w:r>
      <w:r>
        <w:rPr>
          <w:rFonts w:hint="eastAsia" w:ascii="仿宋" w:hAnsi="仿宋" w:eastAsia="仿宋"/>
          <w:sz w:val="32"/>
          <w:szCs w:val="32"/>
        </w:rPr>
        <w:t>(套),0元;单位价值100万元以上的专用设备0台(套),0元。</w:t>
      </w: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2021年部门预算:安排购置车辆0台,0元, 安排购置单位价值50万元以上的通用设备0台(套),0元;单位价值100万元以上的专用设备0台(套),0元。</w:t>
      </w:r>
    </w:p>
    <w:p>
      <w:pPr>
        <w:spacing w:line="560" w:lineRule="exact"/>
        <w:ind w:firstLine="640" w:firstLineChars="200"/>
        <w:rPr>
          <w:rFonts w:ascii="仿宋" w:hAnsi="仿宋" w:eastAsia="仿宋" w:cs="仿宋_GB2312"/>
          <w:sz w:val="32"/>
          <w:szCs w:val="32"/>
        </w:rPr>
      </w:pPr>
    </w:p>
    <w:p>
      <w:pPr>
        <w:pStyle w:val="3"/>
        <w:ind w:firstLine="640"/>
      </w:pPr>
      <w:bookmarkStart w:id="17" w:name="_Toc7603"/>
      <w:r>
        <w:rPr>
          <w:rFonts w:hint="eastAsia"/>
        </w:rPr>
        <w:t>六、名词解释</w:t>
      </w:r>
      <w:bookmarkEnd w:id="17"/>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ascii="黑体" w:hAnsi="黑体"/>
          <w:sz w:val="36"/>
          <w:szCs w:val="36"/>
        </w:rPr>
      </w:pPr>
      <w:r>
        <w:rPr>
          <w:rFonts w:hint="eastAsia" w:ascii="仿宋" w:hAnsi="仿宋" w:eastAsia="仿宋" w:cs="仿宋_GB2312"/>
          <w:sz w:val="32"/>
          <w:szCs w:val="32"/>
          <w:lang w:bidi="ar"/>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18" w:name="_Toc4946"/>
    </w:p>
    <w:p>
      <w:pPr>
        <w:pStyle w:val="2"/>
        <w:rPr>
          <w:rFonts w:ascii="黑体" w:hAnsi="黑体"/>
          <w:b w:val="0"/>
          <w:sz w:val="36"/>
          <w:szCs w:val="36"/>
        </w:rPr>
      </w:pPr>
    </w:p>
    <w:p>
      <w:pPr>
        <w:pStyle w:val="2"/>
        <w:rPr>
          <w:rFonts w:ascii="黑体" w:hAnsi="黑体"/>
          <w:b w:val="0"/>
          <w:sz w:val="36"/>
          <w:szCs w:val="36"/>
        </w:rPr>
      </w:pPr>
    </w:p>
    <w:p>
      <w:pPr>
        <w:pStyle w:val="2"/>
        <w:rPr>
          <w:rFonts w:ascii="黑体" w:hAnsi="黑体"/>
          <w:b w:val="0"/>
          <w:sz w:val="36"/>
          <w:szCs w:val="36"/>
        </w:rPr>
      </w:pPr>
    </w:p>
    <w:p>
      <w:pPr>
        <w:pStyle w:val="2"/>
        <w:rPr>
          <w:rFonts w:ascii="黑体" w:hAnsi="黑体"/>
          <w:b w:val="0"/>
          <w:sz w:val="36"/>
          <w:szCs w:val="36"/>
        </w:rPr>
      </w:pPr>
    </w:p>
    <w:p>
      <w:pPr>
        <w:pStyle w:val="2"/>
        <w:rPr>
          <w:rFonts w:ascii="黑体" w:hAnsi="黑体"/>
          <w:b w:val="0"/>
          <w:sz w:val="36"/>
          <w:szCs w:val="36"/>
        </w:rPr>
      </w:pPr>
    </w:p>
    <w:p>
      <w:pPr>
        <w:pStyle w:val="2"/>
        <w:rPr>
          <w:rFonts w:ascii="黑体" w:hAnsi="黑体"/>
          <w:b w:val="0"/>
          <w:sz w:val="36"/>
          <w:szCs w:val="36"/>
        </w:rPr>
      </w:pPr>
      <w:r>
        <w:rPr>
          <w:rFonts w:hint="eastAsia" w:ascii="黑体" w:hAnsi="黑体"/>
          <w:b w:val="0"/>
          <w:sz w:val="36"/>
          <w:szCs w:val="36"/>
        </w:rPr>
        <w:t>第二部分  2021年部门预算表</w:t>
      </w:r>
      <w:bookmarkEnd w:id="18"/>
    </w:p>
    <w:p>
      <w:pPr>
        <w:pStyle w:val="4"/>
        <w:ind w:firstLine="0" w:firstLineChars="0"/>
        <w:rPr>
          <w:b/>
          <w:bCs w:val="0"/>
        </w:rPr>
      </w:pPr>
    </w:p>
    <w:p>
      <w:pPr>
        <w:pStyle w:val="4"/>
        <w:ind w:firstLine="0" w:firstLineChars="0"/>
        <w:jc w:val="center"/>
        <w:rPr>
          <w:b/>
          <w:bCs w:val="0"/>
        </w:rPr>
      </w:pPr>
      <w:bookmarkStart w:id="19" w:name="_Toc9601"/>
      <w:r>
        <w:rPr>
          <w:rFonts w:hint="eastAsia"/>
          <w:b/>
          <w:bCs w:val="0"/>
        </w:rPr>
        <w:t>表一：部门收支总体情况表</w:t>
      </w:r>
      <w:bookmarkEnd w:id="19"/>
    </w:p>
    <w:p>
      <w:pPr>
        <w:pStyle w:val="3"/>
        <w:ind w:firstLine="640"/>
      </w:pPr>
    </w:p>
    <w:tbl>
      <w:tblPr>
        <w:tblStyle w:val="11"/>
        <w:tblW w:w="8240" w:type="dxa"/>
        <w:tblInd w:w="0" w:type="dxa"/>
        <w:tblLayout w:type="autofit"/>
        <w:tblCellMar>
          <w:top w:w="0" w:type="dxa"/>
          <w:left w:w="0" w:type="dxa"/>
          <w:bottom w:w="0" w:type="dxa"/>
          <w:right w:w="0" w:type="dxa"/>
        </w:tblCellMar>
      </w:tblPr>
      <w:tblGrid>
        <w:gridCol w:w="2403"/>
        <w:gridCol w:w="1839"/>
        <w:gridCol w:w="2143"/>
        <w:gridCol w:w="1855"/>
      </w:tblGrid>
      <w:tr>
        <w:tblPrEx>
          <w:tblCellMar>
            <w:top w:w="0" w:type="dxa"/>
            <w:left w:w="0" w:type="dxa"/>
            <w:bottom w:w="0" w:type="dxa"/>
            <w:right w:w="0" w:type="dxa"/>
          </w:tblCellMar>
        </w:tblPrEx>
        <w:trPr>
          <w:trHeight w:val="298" w:hRule="atLeast"/>
        </w:trPr>
        <w:tc>
          <w:tcPr>
            <w:tcW w:w="8240" w:type="dxa"/>
            <w:gridSpan w:val="4"/>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收入项目类别</w:t>
            </w:r>
          </w:p>
        </w:tc>
        <w:tc>
          <w:tcPr>
            <w:tcW w:w="18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收入金额</w:t>
            </w:r>
          </w:p>
        </w:tc>
        <w:tc>
          <w:tcPr>
            <w:tcW w:w="214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支出项目类别</w:t>
            </w:r>
          </w:p>
        </w:tc>
        <w:tc>
          <w:tcPr>
            <w:tcW w:w="18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支出金额</w:t>
            </w: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预算内资金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7,524,040.37</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一般公共服务支出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7,524,040.37</w:t>
            </w: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财政专户管理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进修及培训</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15,606.00</w:t>
            </w:r>
          </w:p>
        </w:tc>
      </w:tr>
      <w:tr>
        <w:tblPrEx>
          <w:tblCellMar>
            <w:top w:w="0" w:type="dxa"/>
            <w:left w:w="0" w:type="dxa"/>
            <w:bottom w:w="0" w:type="dxa"/>
            <w:right w:w="0" w:type="dxa"/>
          </w:tblCellMar>
        </w:tblPrEx>
        <w:trPr>
          <w:trHeight w:val="59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财政专户资金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行政事业单位养老支出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761,374.16</w:t>
            </w: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教育收费收入</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红十字事业</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5,597,486.46</w:t>
            </w:r>
          </w:p>
        </w:tc>
      </w:tr>
      <w:tr>
        <w:tblPrEx>
          <w:tblCellMar>
            <w:top w:w="0" w:type="dxa"/>
            <w:left w:w="0" w:type="dxa"/>
            <w:bottom w:w="0" w:type="dxa"/>
            <w:right w:w="0" w:type="dxa"/>
          </w:tblCellMar>
        </w:tblPrEx>
        <w:trPr>
          <w:trHeight w:val="307"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其他财政专户收入</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行政事业单位医疗</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390,722.67</w:t>
            </w: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批准留用</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住房改革支出</w:t>
            </w:r>
          </w:p>
        </w:tc>
        <w:tc>
          <w:tcPr>
            <w:tcW w:w="1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758,851.08</w:t>
            </w: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上级补助收入</w:t>
            </w:r>
          </w:p>
        </w:tc>
        <w:tc>
          <w:tcPr>
            <w:tcW w:w="18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59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事业收入（不含事业单位预算外资金）</w:t>
            </w:r>
          </w:p>
        </w:tc>
        <w:tc>
          <w:tcPr>
            <w:tcW w:w="18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经营收入</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附属单位上缴收入</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其他收入</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本年收入合计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7,524,040.37</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本年支出合计</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7,524,040.37</w:t>
            </w: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用事业基金弥补收支差额</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9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上年结转</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结转下年 </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 xml:space="preserve">    收入总计：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7,524,040.37</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 xml:space="preserve">    支出总计：</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7,524,040.37</w:t>
            </w:r>
          </w:p>
        </w:tc>
      </w:tr>
    </w:tbl>
    <w:p/>
    <w:p/>
    <w:p>
      <w:pPr>
        <w:sectPr>
          <w:footerReference r:id="rId3" w:type="default"/>
          <w:footerReference r:id="rId4" w:type="even"/>
          <w:pgSz w:w="11906" w:h="16838"/>
          <w:pgMar w:top="1440" w:right="1800" w:bottom="1440" w:left="1800" w:header="851" w:footer="992" w:gutter="0"/>
          <w:cols w:space="425" w:num="1"/>
          <w:titlePg/>
          <w:docGrid w:type="lines" w:linePitch="312" w:charSpace="0"/>
        </w:sectPr>
      </w:pPr>
    </w:p>
    <w:p>
      <w:pPr>
        <w:pStyle w:val="4"/>
        <w:ind w:firstLine="0" w:firstLineChars="0"/>
        <w:jc w:val="center"/>
        <w:rPr>
          <w:b/>
          <w:bCs w:val="0"/>
        </w:rPr>
      </w:pPr>
      <w:bookmarkStart w:id="20" w:name="_Toc10555"/>
      <w:r>
        <w:rPr>
          <w:rFonts w:hint="eastAsia"/>
          <w:b/>
          <w:bCs w:val="0"/>
        </w:rPr>
        <w:t>表二：部门收入总体情况表</w:t>
      </w:r>
      <w:bookmarkEnd w:id="20"/>
    </w:p>
    <w:tbl>
      <w:tblPr>
        <w:tblStyle w:val="11"/>
        <w:tblW w:w="5000" w:type="pct"/>
        <w:jc w:val="center"/>
        <w:tblLayout w:type="autofit"/>
        <w:tblCellMar>
          <w:top w:w="0" w:type="dxa"/>
          <w:left w:w="0" w:type="dxa"/>
          <w:bottom w:w="0" w:type="dxa"/>
          <w:right w:w="0" w:type="dxa"/>
        </w:tblCellMar>
      </w:tblPr>
      <w:tblGrid>
        <w:gridCol w:w="1043"/>
        <w:gridCol w:w="2397"/>
        <w:gridCol w:w="1580"/>
        <w:gridCol w:w="982"/>
        <w:gridCol w:w="1776"/>
        <w:gridCol w:w="996"/>
        <w:gridCol w:w="725"/>
        <w:gridCol w:w="582"/>
        <w:gridCol w:w="546"/>
        <w:gridCol w:w="1041"/>
        <w:gridCol w:w="725"/>
        <w:gridCol w:w="1595"/>
      </w:tblGrid>
      <w:tr>
        <w:tblPrEx>
          <w:tblCellMar>
            <w:top w:w="0" w:type="dxa"/>
            <w:left w:w="0" w:type="dxa"/>
            <w:bottom w:w="0" w:type="dxa"/>
            <w:right w:w="0" w:type="dxa"/>
          </w:tblCellMar>
        </w:tblPrEx>
        <w:trPr>
          <w:trHeight w:val="270" w:hRule="atLeast"/>
          <w:jc w:val="center"/>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单位：元</w:t>
            </w:r>
          </w:p>
        </w:tc>
      </w:tr>
      <w:tr>
        <w:tblPrEx>
          <w:tblCellMar>
            <w:top w:w="0" w:type="dxa"/>
            <w:left w:w="0" w:type="dxa"/>
            <w:bottom w:w="0" w:type="dxa"/>
            <w:right w:w="0" w:type="dxa"/>
          </w:tblCellMar>
        </w:tblPrEx>
        <w:trPr>
          <w:trHeight w:val="675" w:hRule="atLeast"/>
          <w:jc w:val="center"/>
        </w:trPr>
        <w:tc>
          <w:tcPr>
            <w:tcW w:w="123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    目</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  计</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上年结转</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一般公共预算拨款收入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政府性基金预算拨款收入</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上级补助收入</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事业收入</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经营收入</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附属单位上缴收入</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其他收入</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用事业基金弥补收支差额</w:t>
            </w: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205</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教育支出</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15,606.00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15,606.00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20508</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进修及培训</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15,606.00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15,606.00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2050803</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培训支出</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15,606.00</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15,606.00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208</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社会保障和就业</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6,358,860.62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6,358,860.62</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20805</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行政事业单位养老支出</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761,374.16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761,374.16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2080501</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行政单位离退休</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40,040.00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40,040.00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2080505</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机关事业单位基本养老保险缴费支出</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480889.44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480889.44</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2080506</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机关事业单位职业年金缴费支出</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240444.72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240444.72</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20816</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红十字事业</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5,597,486.46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5,597,486.46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行政运行</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4,124,864.90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4,124,864.90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2081602</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一般行政管理事务</w:t>
            </w:r>
          </w:p>
        </w:tc>
        <w:tc>
          <w:tcPr>
            <w:tcW w:w="5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76,801.56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76,801.56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其他红十字事业支出</w:t>
            </w:r>
          </w:p>
        </w:tc>
        <w:tc>
          <w:tcPr>
            <w:tcW w:w="5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1,395,820.00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1,395,820.00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210</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卫生健康支出</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390,722.67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390,722.67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21011</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行政事业单位医疗</w:t>
            </w:r>
          </w:p>
        </w:tc>
        <w:tc>
          <w:tcPr>
            <w:tcW w:w="5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390,722.67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390,722.67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2101101</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行政单位医疗</w:t>
            </w:r>
          </w:p>
        </w:tc>
        <w:tc>
          <w:tcPr>
            <w:tcW w:w="5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390,722.67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390,722.67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221</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住房保障支出</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758,851.08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758,851.08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22102</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住房改革支出</w:t>
            </w:r>
          </w:p>
        </w:tc>
        <w:tc>
          <w:tcPr>
            <w:tcW w:w="5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758,851.08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758,851.08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2210201</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5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397,387.08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397,387.08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2210203</w:t>
            </w: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购房补贴</w:t>
            </w:r>
          </w:p>
        </w:tc>
        <w:tc>
          <w:tcPr>
            <w:tcW w:w="5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361,464.00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361,464.00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51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  计</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7,524,040.37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7,524,040.37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r>
    </w:tbl>
    <w:p>
      <w:pPr>
        <w:jc w:val="center"/>
      </w:pPr>
    </w:p>
    <w:p>
      <w:pPr>
        <w:pStyle w:val="4"/>
        <w:ind w:firstLine="0" w:firstLineChars="0"/>
        <w:jc w:val="center"/>
        <w:rPr>
          <w:b/>
          <w:bCs w:val="0"/>
        </w:rPr>
      </w:pPr>
      <w:bookmarkStart w:id="21" w:name="_Toc29932"/>
    </w:p>
    <w:p>
      <w:pPr>
        <w:pStyle w:val="4"/>
        <w:ind w:firstLine="0" w:firstLineChars="0"/>
        <w:jc w:val="center"/>
        <w:rPr>
          <w:b/>
          <w:bCs w:val="0"/>
        </w:rPr>
      </w:pPr>
    </w:p>
    <w:p>
      <w:pPr>
        <w:rPr>
          <w:b/>
        </w:rPr>
      </w:pPr>
    </w:p>
    <w:p>
      <w:pPr>
        <w:rPr>
          <w:b/>
        </w:rPr>
      </w:pPr>
    </w:p>
    <w:p>
      <w:pPr>
        <w:rPr>
          <w:b/>
        </w:rPr>
      </w:pPr>
    </w:p>
    <w:p>
      <w:pPr>
        <w:rPr>
          <w:b/>
        </w:rPr>
      </w:pPr>
    </w:p>
    <w:p>
      <w:pPr>
        <w:pStyle w:val="4"/>
        <w:ind w:firstLine="0" w:firstLineChars="0"/>
        <w:jc w:val="center"/>
        <w:rPr>
          <w:b/>
          <w:bCs w:val="0"/>
        </w:rPr>
      </w:pPr>
      <w:r>
        <w:rPr>
          <w:rFonts w:hint="eastAsia"/>
          <w:b/>
          <w:bCs w:val="0"/>
        </w:rPr>
        <w:t>表三：部门支出总体情况表</w:t>
      </w:r>
      <w:bookmarkEnd w:id="21"/>
    </w:p>
    <w:tbl>
      <w:tblPr>
        <w:tblStyle w:val="11"/>
        <w:tblpPr w:leftFromText="180" w:rightFromText="180" w:vertAnchor="text" w:horzAnchor="page" w:tblpXSpec="center" w:tblpY="217"/>
        <w:tblOverlap w:val="never"/>
        <w:tblW w:w="12270" w:type="dxa"/>
        <w:jc w:val="center"/>
        <w:tblLayout w:type="autofit"/>
        <w:tblCellMar>
          <w:top w:w="0" w:type="dxa"/>
          <w:left w:w="0" w:type="dxa"/>
          <w:bottom w:w="0" w:type="dxa"/>
          <w:right w:w="0" w:type="dxa"/>
        </w:tblCellMar>
      </w:tblPr>
      <w:tblGrid>
        <w:gridCol w:w="1080"/>
        <w:gridCol w:w="2670"/>
        <w:gridCol w:w="1650"/>
        <w:gridCol w:w="1650"/>
        <w:gridCol w:w="1650"/>
        <w:gridCol w:w="1530"/>
        <w:gridCol w:w="915"/>
        <w:gridCol w:w="1125"/>
      </w:tblGrid>
      <w:tr>
        <w:tblPrEx>
          <w:tblCellMar>
            <w:top w:w="0" w:type="dxa"/>
            <w:left w:w="0" w:type="dxa"/>
            <w:bottom w:w="0" w:type="dxa"/>
            <w:right w:w="0" w:type="dxa"/>
          </w:tblCellMar>
        </w:tblPrEx>
        <w:trPr>
          <w:trHeight w:val="450" w:hRule="atLeast"/>
          <w:jc w:val="center"/>
        </w:trPr>
        <w:tc>
          <w:tcPr>
            <w:tcW w:w="1227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单位：元</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  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上缴上级支出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事业单位</w:t>
            </w:r>
            <w:r>
              <w:rPr>
                <w:rFonts w:hint="eastAsia" w:ascii="宋体" w:hAnsi="宋体" w:eastAsia="宋体" w:cs="宋体"/>
                <w:b/>
                <w:color w:val="000000"/>
                <w:kern w:val="0"/>
                <w:sz w:val="20"/>
                <w:szCs w:val="20"/>
                <w:lang w:bidi="ar"/>
              </w:rPr>
              <w:br w:type="textWrapping"/>
            </w:r>
            <w:r>
              <w:rPr>
                <w:rFonts w:hint="eastAsia" w:ascii="宋体" w:hAnsi="宋体" w:eastAsia="宋体" w:cs="宋体"/>
                <w:b/>
                <w:color w:val="000000"/>
                <w:kern w:val="0"/>
                <w:sz w:val="20"/>
                <w:szCs w:val="20"/>
                <w:lang w:bidi="ar"/>
              </w:rPr>
              <w:t>经营支出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对下级单位</w:t>
            </w:r>
            <w:r>
              <w:rPr>
                <w:rFonts w:hint="eastAsia" w:ascii="宋体" w:hAnsi="宋体" w:eastAsia="宋体" w:cs="宋体"/>
                <w:b/>
                <w:color w:val="000000"/>
                <w:kern w:val="0"/>
                <w:sz w:val="20"/>
                <w:szCs w:val="20"/>
                <w:lang w:bidi="ar"/>
              </w:rPr>
              <w:br w:type="textWrapping"/>
            </w:r>
            <w:r>
              <w:rPr>
                <w:rFonts w:hint="eastAsia" w:ascii="宋体" w:hAnsi="宋体" w:eastAsia="宋体" w:cs="宋体"/>
                <w:b/>
                <w:color w:val="000000"/>
                <w:kern w:val="0"/>
                <w:sz w:val="20"/>
                <w:szCs w:val="20"/>
                <w:lang w:bidi="ar"/>
              </w:rPr>
              <w:t>补助支出</w:t>
            </w: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205</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教育支出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15606.00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15606.00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20508</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进修及培训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15606.00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15606.00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2050803</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培训支出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15606.00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15606.00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208</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社会保障和就业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6358860.62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4886239.06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1472621.56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20805</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行政事业单位养老支出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761374.16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761374.16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行政单位离退休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40040.00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40040.00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2080505</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机关事业单位基本养老保险缴费支出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480889.44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480889.44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2080506</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机关事业单位职业年金缴费支出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240444.72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240444.72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20816</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红十字事业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5597486.46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4124864.90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1472621.56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行政运行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4124864.90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4124864.90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2081602</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一般行政管理事务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76801.56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76801.56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其他红十字事业支出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1395820.00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1395820.00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210</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卫生健康支出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390722.67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390722.67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21011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390722.67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390722.67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行政单位医疗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390722.67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390722.67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221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住房保障支出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758851.08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758851.08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22102</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住房改革支出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758851.08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758851.08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397387.08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397387.08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2210203</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购房补贴</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361464.00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361464.00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    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7,524,040.37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6,051,418.81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1,472,621.56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bl>
    <w:p/>
    <w:p>
      <w:pPr>
        <w:sectPr>
          <w:pgSz w:w="16838" w:h="11906" w:orient="landscape"/>
          <w:pgMar w:top="1797" w:right="1440" w:bottom="1797" w:left="1440" w:header="851" w:footer="992" w:gutter="0"/>
          <w:cols w:space="425" w:num="1"/>
          <w:docGrid w:type="linesAndChars" w:linePitch="312" w:charSpace="0"/>
        </w:sectPr>
      </w:pPr>
    </w:p>
    <w:p>
      <w:pPr>
        <w:pStyle w:val="4"/>
        <w:ind w:firstLine="0" w:firstLineChars="0"/>
        <w:rPr>
          <w:b/>
          <w:bCs w:val="0"/>
        </w:rPr>
      </w:pPr>
    </w:p>
    <w:p>
      <w:pPr>
        <w:pStyle w:val="4"/>
        <w:ind w:firstLine="0" w:firstLineChars="0"/>
        <w:jc w:val="center"/>
        <w:rPr>
          <w:b/>
          <w:bCs w:val="0"/>
        </w:rPr>
      </w:pPr>
      <w:bookmarkStart w:id="22" w:name="_Toc15403"/>
      <w:r>
        <w:rPr>
          <w:rFonts w:hint="eastAsia"/>
          <w:b/>
          <w:bCs w:val="0"/>
        </w:rPr>
        <w:t>表四：财政拨款收支总体情况表</w:t>
      </w:r>
      <w:bookmarkEnd w:id="22"/>
    </w:p>
    <w:p/>
    <w:p/>
    <w:tbl>
      <w:tblPr>
        <w:tblStyle w:val="11"/>
        <w:tblW w:w="9195" w:type="dxa"/>
        <w:jc w:val="center"/>
        <w:tblLayout w:type="autofit"/>
        <w:tblCellMar>
          <w:top w:w="0" w:type="dxa"/>
          <w:left w:w="0" w:type="dxa"/>
          <w:bottom w:w="0" w:type="dxa"/>
          <w:right w:w="0" w:type="dxa"/>
        </w:tblCellMar>
      </w:tblPr>
      <w:tblGrid>
        <w:gridCol w:w="2775"/>
        <w:gridCol w:w="1845"/>
        <w:gridCol w:w="2730"/>
        <w:gridCol w:w="1845"/>
      </w:tblGrid>
      <w:tr>
        <w:tblPrEx>
          <w:tblCellMar>
            <w:top w:w="0" w:type="dxa"/>
            <w:left w:w="0" w:type="dxa"/>
            <w:bottom w:w="0" w:type="dxa"/>
            <w:right w:w="0" w:type="dxa"/>
          </w:tblCellMar>
        </w:tblPrEx>
        <w:trPr>
          <w:trHeight w:val="270" w:hRule="atLeast"/>
          <w:jc w:val="center"/>
        </w:trPr>
        <w:tc>
          <w:tcPr>
            <w:tcW w:w="9195" w:type="dxa"/>
            <w:gridSpan w:val="4"/>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单位：元</w:t>
            </w:r>
          </w:p>
        </w:tc>
      </w:tr>
      <w:tr>
        <w:tblPrEx>
          <w:tblCellMar>
            <w:top w:w="0" w:type="dxa"/>
            <w:left w:w="0" w:type="dxa"/>
            <w:bottom w:w="0" w:type="dxa"/>
            <w:right w:w="0" w:type="dxa"/>
          </w:tblCellMar>
        </w:tblPrEx>
        <w:trPr>
          <w:trHeight w:val="43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支     出</w:t>
            </w: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  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  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预算金额</w:t>
            </w: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一、本年收入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7,524,040.37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一、本年支出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7,524,040.37</w:t>
            </w: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（一）一般公共预算拨款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7,524,040.37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进修及培训</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15,606.00</w:t>
            </w: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（二）政府性基金预算拨款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761,374.16</w:t>
            </w: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红十字事业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5,597,486.46</w:t>
            </w: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二、上年结转</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390,722.67</w:t>
            </w: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（一）一般公共预算拨款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住房改革支出</w:t>
            </w:r>
          </w:p>
        </w:tc>
        <w:tc>
          <w:tcPr>
            <w:tcW w:w="18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758,851.08</w:t>
            </w: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（二）政府性基金预算拨款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二、结转下年</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 xml:space="preserve">    收入总计：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7,524,040.37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支出总计：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7,524,040.37</w:t>
            </w:r>
          </w:p>
        </w:tc>
      </w:tr>
    </w:tbl>
    <w:p/>
    <w:p/>
    <w:p/>
    <w:p/>
    <w:p/>
    <w:p/>
    <w:p/>
    <w:p/>
    <w:p/>
    <w:p/>
    <w:p/>
    <w:p/>
    <w:p/>
    <w:p/>
    <w:p/>
    <w:p/>
    <w:p>
      <w:pPr>
        <w:pStyle w:val="4"/>
        <w:ind w:firstLine="0" w:firstLineChars="0"/>
        <w:rPr>
          <w:b/>
          <w:bCs w:val="0"/>
        </w:rPr>
      </w:pPr>
    </w:p>
    <w:p>
      <w:pPr>
        <w:pStyle w:val="4"/>
        <w:ind w:firstLine="0" w:firstLineChars="0"/>
        <w:jc w:val="center"/>
        <w:rPr>
          <w:b/>
          <w:bCs w:val="0"/>
        </w:rPr>
      </w:pPr>
      <w:bookmarkStart w:id="23" w:name="_Toc6822"/>
      <w:r>
        <w:rPr>
          <w:rFonts w:hint="eastAsia"/>
          <w:b/>
          <w:bCs w:val="0"/>
        </w:rPr>
        <w:t>表五：一般公共预算支出情况表</w:t>
      </w:r>
      <w:bookmarkEnd w:id="23"/>
    </w:p>
    <w:p/>
    <w:tbl>
      <w:tblPr>
        <w:tblStyle w:val="11"/>
        <w:tblW w:w="9165" w:type="dxa"/>
        <w:jc w:val="center"/>
        <w:tblLayout w:type="autofit"/>
        <w:tblCellMar>
          <w:top w:w="0" w:type="dxa"/>
          <w:left w:w="0" w:type="dxa"/>
          <w:bottom w:w="0" w:type="dxa"/>
          <w:right w:w="0" w:type="dxa"/>
        </w:tblCellMar>
      </w:tblPr>
      <w:tblGrid>
        <w:gridCol w:w="1124"/>
        <w:gridCol w:w="2167"/>
        <w:gridCol w:w="1750"/>
        <w:gridCol w:w="2062"/>
        <w:gridCol w:w="2062"/>
      </w:tblGrid>
      <w:tr>
        <w:tblPrEx>
          <w:tblCellMar>
            <w:top w:w="0" w:type="dxa"/>
            <w:left w:w="0" w:type="dxa"/>
            <w:bottom w:w="0" w:type="dxa"/>
            <w:right w:w="0" w:type="dxa"/>
          </w:tblCellMar>
        </w:tblPrEx>
        <w:trPr>
          <w:trHeight w:val="270" w:hRule="atLeast"/>
          <w:jc w:val="center"/>
        </w:trPr>
        <w:tc>
          <w:tcPr>
            <w:tcW w:w="9165" w:type="dxa"/>
            <w:gridSpan w:val="5"/>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科目编码</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科 目 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项目支出</w:t>
            </w: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205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15606.00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15606.00 </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20508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15606.00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15606.00 </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2050803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培训支出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15606.00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15606.00 </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208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社会保障和就业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6358860.62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4886239.06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1472621.56 </w:t>
            </w: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20805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761374.16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761374.16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0.00 </w:t>
            </w: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40040.00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40040.00 </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480889.44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480889.44 </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240444.72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240444.72 </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20816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红十字事业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5597486.46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4124864.90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1472621.56 </w:t>
            </w: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4124864.90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4124864.90 </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76801.56 </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76801.56 </w:t>
            </w: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其他红十字事业支出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1395820.00 </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1395820.00 </w:t>
            </w: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210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390722.67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390722.67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21011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390722.67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390722.67 </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390722.67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390722.67 </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221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758851.08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758851.08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22102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01" w:firstLineChars="100"/>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758851.08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758851.08 </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397387.08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397387.08 </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361464.00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361464.00 </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7,524,040.37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6,051,418.81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1,472,621.56</w:t>
            </w:r>
          </w:p>
        </w:tc>
      </w:tr>
    </w:tbl>
    <w:p/>
    <w:p/>
    <w:p/>
    <w:p/>
    <w:p>
      <w:pPr>
        <w:pStyle w:val="3"/>
        <w:ind w:firstLine="0" w:firstLineChars="0"/>
        <w:sectPr>
          <w:pgSz w:w="11906" w:h="16838"/>
          <w:pgMar w:top="1440" w:right="1797" w:bottom="1440" w:left="1797" w:header="851" w:footer="992" w:gutter="0"/>
          <w:cols w:space="425" w:num="1"/>
          <w:docGrid w:type="lines" w:linePitch="312" w:charSpace="0"/>
        </w:sectPr>
      </w:pPr>
    </w:p>
    <w:p>
      <w:pPr>
        <w:pStyle w:val="4"/>
        <w:ind w:firstLine="0" w:firstLineChars="0"/>
        <w:jc w:val="center"/>
        <w:rPr>
          <w:b/>
          <w:bCs w:val="0"/>
        </w:rPr>
      </w:pPr>
      <w:bookmarkStart w:id="24" w:name="_Toc2304"/>
      <w:r>
        <w:rPr>
          <w:rFonts w:hint="eastAsia"/>
          <w:b/>
          <w:bCs w:val="0"/>
        </w:rPr>
        <w:t>表六：一般公共预算基本支出情况表</w:t>
      </w:r>
      <w:bookmarkEnd w:id="24"/>
    </w:p>
    <w:p/>
    <w:tbl>
      <w:tblPr>
        <w:tblStyle w:val="11"/>
        <w:tblW w:w="11520" w:type="dxa"/>
        <w:jc w:val="center"/>
        <w:tblLayout w:type="autofit"/>
        <w:tblCellMar>
          <w:top w:w="0" w:type="dxa"/>
          <w:left w:w="0" w:type="dxa"/>
          <w:bottom w:w="0" w:type="dxa"/>
          <w:right w:w="0" w:type="dxa"/>
        </w:tblCellMar>
      </w:tblPr>
      <w:tblGrid>
        <w:gridCol w:w="915"/>
        <w:gridCol w:w="2430"/>
        <w:gridCol w:w="915"/>
        <w:gridCol w:w="2850"/>
        <w:gridCol w:w="1515"/>
        <w:gridCol w:w="1515"/>
        <w:gridCol w:w="1380"/>
      </w:tblGrid>
      <w:tr>
        <w:tblPrEx>
          <w:tblCellMar>
            <w:top w:w="0" w:type="dxa"/>
            <w:left w:w="0" w:type="dxa"/>
            <w:bottom w:w="0" w:type="dxa"/>
            <w:right w:w="0" w:type="dxa"/>
          </w:tblCellMar>
        </w:tblPrEx>
        <w:trPr>
          <w:trHeight w:val="270" w:hRule="atLeast"/>
          <w:jc w:val="center"/>
        </w:trPr>
        <w:tc>
          <w:tcPr>
            <w:tcW w:w="1152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政府经济</w:t>
            </w:r>
            <w:r>
              <w:rPr>
                <w:rFonts w:hint="eastAsia" w:ascii="宋体" w:hAnsi="宋体" w:eastAsia="宋体" w:cs="宋体"/>
                <w:b/>
                <w:color w:val="000000"/>
                <w:kern w:val="0"/>
                <w:sz w:val="20"/>
                <w:szCs w:val="20"/>
                <w:lang w:bidi="ar"/>
              </w:rPr>
              <w:br w:type="textWrapping"/>
            </w:r>
            <w:r>
              <w:rPr>
                <w:rFonts w:hint="eastAsia" w:ascii="宋体" w:hAnsi="宋体" w:eastAsia="宋体" w:cs="宋体"/>
                <w:b/>
                <w:color w:val="000000"/>
                <w:kern w:val="0"/>
                <w:sz w:val="20"/>
                <w:szCs w:val="20"/>
                <w:lang w:bidi="ar"/>
              </w:rPr>
              <w:t>分类代码</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政府经济分类名称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部门经济</w:t>
            </w:r>
            <w:r>
              <w:rPr>
                <w:rFonts w:hint="eastAsia" w:ascii="宋体" w:hAnsi="宋体" w:eastAsia="宋体" w:cs="宋体"/>
                <w:b/>
                <w:color w:val="000000"/>
                <w:kern w:val="0"/>
                <w:sz w:val="20"/>
                <w:szCs w:val="20"/>
                <w:lang w:bidi="ar"/>
              </w:rPr>
              <w:br w:type="textWrapping"/>
            </w:r>
            <w:r>
              <w:rPr>
                <w:rFonts w:hint="eastAsia" w:ascii="宋体" w:hAnsi="宋体" w:eastAsia="宋体" w:cs="宋体"/>
                <w:b/>
                <w:color w:val="000000"/>
                <w:kern w:val="0"/>
                <w:sz w:val="20"/>
                <w:szCs w:val="20"/>
                <w:lang w:bidi="ar"/>
              </w:rPr>
              <w:t>分类代码</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部门经济分类名称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  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人员经费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公用经费</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培训费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15606.00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社会保障缴费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480889.44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480,889.44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社会保障缴费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240444.72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240,444.72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50905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离退休费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30302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35530.00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35,530.00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50999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其他对个人和家庭的补助</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30399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50299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4270.00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4,270.00</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工资奖金津补贴</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758412.00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758,412.00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工资奖金津补贴</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2015076.00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2,015,076.00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工资奖金津补贴</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255000.00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255,000.00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50199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其他工资福利支出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63201.00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63,201.00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社会保障缴费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30112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30055.59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30,055.59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50199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其他工资福利支出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237600.00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237,600.00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工资奖金津补贴</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75630.00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75,630.00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30239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144000.00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50999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其他对个人和家庭的补助</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30399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134880.00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30201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36000.00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36,000.00</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30205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7200.00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7,200.00</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30206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48600.00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48,600.00</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30207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19000.00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19,000.00</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11628.00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11,628.00</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维修（护）费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3600.00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3,600.00</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4590.00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4,590.00</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公务接待费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2488.23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2,488.23</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30228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55469.76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55,469.76</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30229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60912.00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60,912.00</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50299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161522.32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161,522.32</w:t>
            </w: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社会保障缴费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30112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390722.67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390,722.67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工资奖金津补贴</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361464.00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361,464.00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50103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住房公积金</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30113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397387.08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397,387.08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6051418.81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5636138.50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415280.31 </w:t>
            </w:r>
          </w:p>
        </w:tc>
      </w:tr>
    </w:tbl>
    <w:p>
      <w:pPr>
        <w:pStyle w:val="3"/>
        <w:ind w:firstLine="640"/>
        <w:sectPr>
          <w:pgSz w:w="16838" w:h="11906" w:orient="landscape"/>
          <w:pgMar w:top="1797" w:right="1440" w:bottom="1797" w:left="1440" w:header="851" w:footer="992" w:gutter="0"/>
          <w:cols w:space="425" w:num="1"/>
          <w:docGrid w:type="linesAndChars" w:linePitch="312" w:charSpace="0"/>
        </w:sectPr>
      </w:pPr>
    </w:p>
    <w:p/>
    <w:p>
      <w:pPr>
        <w:pStyle w:val="4"/>
        <w:ind w:firstLine="0" w:firstLineChars="0"/>
        <w:jc w:val="center"/>
        <w:rPr>
          <w:b/>
          <w:bCs w:val="0"/>
        </w:rPr>
      </w:pPr>
      <w:bookmarkStart w:id="25" w:name="_Toc27969"/>
      <w:r>
        <w:rPr>
          <w:rFonts w:hint="eastAsia"/>
          <w:b/>
          <w:bCs w:val="0"/>
        </w:rPr>
        <w:t>表七：一般公共预算“三公”经费支出情况表</w:t>
      </w:r>
      <w:bookmarkEnd w:id="25"/>
    </w:p>
    <w:p/>
    <w:p/>
    <w:tbl>
      <w:tblPr>
        <w:tblStyle w:val="11"/>
        <w:tblW w:w="9165" w:type="dxa"/>
        <w:jc w:val="center"/>
        <w:tblLayout w:type="autofit"/>
        <w:tblCellMar>
          <w:top w:w="0" w:type="dxa"/>
          <w:left w:w="0" w:type="dxa"/>
          <w:bottom w:w="0" w:type="dxa"/>
          <w:right w:w="0" w:type="dxa"/>
        </w:tblCellMar>
      </w:tblPr>
      <w:tblGrid>
        <w:gridCol w:w="4297"/>
        <w:gridCol w:w="2358"/>
        <w:gridCol w:w="2510"/>
      </w:tblGrid>
      <w:tr>
        <w:tblPrEx>
          <w:tblCellMar>
            <w:top w:w="0" w:type="dxa"/>
            <w:left w:w="0" w:type="dxa"/>
            <w:bottom w:w="0" w:type="dxa"/>
            <w:right w:w="0" w:type="dxa"/>
          </w:tblCellMar>
        </w:tblPrEx>
        <w:trPr>
          <w:trHeight w:val="405" w:hRule="atLeast"/>
          <w:jc w:val="center"/>
        </w:trPr>
        <w:tc>
          <w:tcPr>
            <w:tcW w:w="9165" w:type="dxa"/>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一般公共预算“三公”经费支出情况表</w:t>
            </w:r>
          </w:p>
        </w:tc>
      </w:tr>
      <w:tr>
        <w:tblPrEx>
          <w:tblCellMar>
            <w:top w:w="0" w:type="dxa"/>
            <w:left w:w="0" w:type="dxa"/>
            <w:bottom w:w="0" w:type="dxa"/>
            <w:right w:w="0" w:type="dxa"/>
          </w:tblCellMar>
        </w:tblPrEx>
        <w:trPr>
          <w:trHeight w:val="270" w:hRule="atLeast"/>
          <w:jc w:val="center"/>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      目</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2020年预算数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2021年预算数</w:t>
            </w:r>
          </w:p>
        </w:tc>
      </w:tr>
      <w:tr>
        <w:tblPrEx>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2、公务接待费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2738.76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2488.23 </w:t>
            </w:r>
          </w:p>
        </w:tc>
      </w:tr>
      <w:tr>
        <w:tblPrEx>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2738.76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2488.23 </w:t>
            </w:r>
          </w:p>
        </w:tc>
      </w:tr>
    </w:tbl>
    <w:p/>
    <w:p/>
    <w:p/>
    <w:p/>
    <w:p>
      <w:pPr>
        <w:pStyle w:val="4"/>
        <w:ind w:firstLine="0" w:firstLineChars="0"/>
        <w:jc w:val="center"/>
        <w:rPr>
          <w:b/>
          <w:bCs w:val="0"/>
        </w:rPr>
      </w:pPr>
      <w:bookmarkStart w:id="26" w:name="_Toc3205"/>
      <w:r>
        <w:rPr>
          <w:rFonts w:hint="eastAsia"/>
          <w:b/>
          <w:bCs w:val="0"/>
        </w:rPr>
        <w:t>表八：政府性基金预算支出情况表</w:t>
      </w:r>
      <w:bookmarkEnd w:id="26"/>
    </w:p>
    <w:p/>
    <w:tbl>
      <w:tblPr>
        <w:tblStyle w:val="11"/>
        <w:tblW w:w="8342" w:type="dxa"/>
        <w:tblInd w:w="0" w:type="dxa"/>
        <w:tblLayout w:type="fixed"/>
        <w:tblCellMar>
          <w:top w:w="0" w:type="dxa"/>
          <w:left w:w="0" w:type="dxa"/>
          <w:bottom w:w="0" w:type="dxa"/>
          <w:right w:w="0" w:type="dxa"/>
        </w:tblCellMar>
      </w:tblPr>
      <w:tblGrid>
        <w:gridCol w:w="2736"/>
        <w:gridCol w:w="1401"/>
        <w:gridCol w:w="1402"/>
        <w:gridCol w:w="1401"/>
        <w:gridCol w:w="1402"/>
      </w:tblGrid>
      <w:tr>
        <w:tblPrEx>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 目 名 称</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  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r>
      <w:tr>
        <w:tblPrEx>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  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注：本单位无此类资金预算</w:t>
            </w: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bl>
    <w:p/>
    <w:p/>
    <w:p/>
    <w:p/>
    <w:p/>
    <w:p/>
    <w:p/>
    <w:p/>
    <w:p>
      <w:pPr>
        <w:sectPr>
          <w:pgSz w:w="11906" w:h="16838"/>
          <w:pgMar w:top="1440" w:right="1797" w:bottom="1440" w:left="1797" w:header="851" w:footer="992" w:gutter="0"/>
          <w:cols w:space="425" w:num="1"/>
          <w:docGrid w:type="lines" w:linePitch="312" w:charSpace="0"/>
        </w:sectPr>
      </w:pPr>
    </w:p>
    <w:p>
      <w:pPr>
        <w:pStyle w:val="4"/>
        <w:ind w:firstLine="0" w:firstLineChars="0"/>
        <w:jc w:val="center"/>
        <w:rPr>
          <w:b/>
          <w:bCs w:val="0"/>
        </w:rPr>
      </w:pPr>
      <w:bookmarkStart w:id="27" w:name="_Toc31956"/>
      <w:r>
        <w:rPr>
          <w:rFonts w:hint="eastAsia"/>
          <w:b/>
          <w:bCs w:val="0"/>
        </w:rPr>
        <w:t>表九：部门预算明细表</w:t>
      </w:r>
      <w:bookmarkEnd w:id="27"/>
    </w:p>
    <w:tbl>
      <w:tblPr>
        <w:tblStyle w:val="11"/>
        <w:tblW w:w="5000" w:type="pct"/>
        <w:tblInd w:w="0" w:type="dxa"/>
        <w:tblLayout w:type="fixed"/>
        <w:tblCellMar>
          <w:top w:w="0" w:type="dxa"/>
          <w:left w:w="0" w:type="dxa"/>
          <w:bottom w:w="0" w:type="dxa"/>
          <w:right w:w="0" w:type="dxa"/>
        </w:tblCellMar>
      </w:tblPr>
      <w:tblGrid>
        <w:gridCol w:w="597"/>
        <w:gridCol w:w="2129"/>
        <w:gridCol w:w="1245"/>
        <w:gridCol w:w="1807"/>
        <w:gridCol w:w="873"/>
        <w:gridCol w:w="1583"/>
        <w:gridCol w:w="4803"/>
        <w:gridCol w:w="951"/>
      </w:tblGrid>
      <w:tr>
        <w:tblPrEx>
          <w:tblCellMar>
            <w:top w:w="0" w:type="dxa"/>
            <w:left w:w="0" w:type="dxa"/>
            <w:bottom w:w="0" w:type="dxa"/>
            <w:right w:w="0" w:type="dxa"/>
          </w:tblCellMar>
        </w:tblPrEx>
        <w:trPr>
          <w:trHeight w:val="27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单位：元 </w:t>
            </w:r>
          </w:p>
        </w:tc>
      </w:tr>
      <w:tr>
        <w:tblPrEx>
          <w:tblCellMar>
            <w:top w:w="0" w:type="dxa"/>
            <w:left w:w="0" w:type="dxa"/>
            <w:bottom w:w="0" w:type="dxa"/>
            <w:right w:w="0" w:type="dxa"/>
          </w:tblCellMar>
        </w:tblPrEx>
        <w:trPr>
          <w:trHeight w:val="4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功能分类</w:t>
            </w:r>
            <w:r>
              <w:rPr>
                <w:rFonts w:hint="eastAsia" w:ascii="宋体" w:hAnsi="宋体" w:eastAsia="宋体" w:cs="宋体"/>
                <w:b/>
                <w:color w:val="000000"/>
                <w:kern w:val="0"/>
                <w:sz w:val="20"/>
                <w:szCs w:val="20"/>
                <w:lang w:bidi="ar"/>
              </w:rPr>
              <w:br w:type="textWrapping"/>
            </w:r>
            <w:r>
              <w:rPr>
                <w:rFonts w:hint="eastAsia" w:ascii="宋体" w:hAnsi="宋体" w:eastAsia="宋体" w:cs="宋体"/>
                <w:b/>
                <w:color w:val="000000"/>
                <w:kern w:val="0"/>
                <w:sz w:val="20"/>
                <w:szCs w:val="20"/>
                <w:lang w:bidi="ar"/>
              </w:rPr>
              <w:t>代码</w:t>
            </w:r>
          </w:p>
        </w:tc>
        <w:tc>
          <w:tcPr>
            <w:tcW w:w="7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功能分类名称</w:t>
            </w:r>
          </w:p>
        </w:tc>
        <w:tc>
          <w:tcPr>
            <w:tcW w:w="4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政府经济</w:t>
            </w:r>
            <w:r>
              <w:rPr>
                <w:rFonts w:hint="eastAsia" w:ascii="宋体" w:hAnsi="宋体" w:eastAsia="宋体" w:cs="宋体"/>
                <w:b/>
                <w:color w:val="000000"/>
                <w:kern w:val="0"/>
                <w:sz w:val="20"/>
                <w:szCs w:val="20"/>
                <w:lang w:bidi="ar"/>
              </w:rPr>
              <w:br w:type="textWrapping"/>
            </w:r>
            <w:r>
              <w:rPr>
                <w:rFonts w:hint="eastAsia" w:ascii="宋体" w:hAnsi="宋体" w:eastAsia="宋体" w:cs="宋体"/>
                <w:b/>
                <w:color w:val="000000"/>
                <w:kern w:val="0"/>
                <w:sz w:val="20"/>
                <w:szCs w:val="20"/>
                <w:lang w:bidi="ar"/>
              </w:rPr>
              <w:t>分类代码</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政府经济分类名称</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部门经济</w:t>
            </w:r>
            <w:r>
              <w:rPr>
                <w:rFonts w:hint="eastAsia" w:ascii="宋体" w:hAnsi="宋体" w:eastAsia="宋体" w:cs="宋体"/>
                <w:b/>
                <w:color w:val="000000"/>
                <w:kern w:val="0"/>
                <w:sz w:val="20"/>
                <w:szCs w:val="20"/>
                <w:lang w:bidi="ar"/>
              </w:rPr>
              <w:br w:type="textWrapping"/>
            </w:r>
            <w:r>
              <w:rPr>
                <w:rFonts w:hint="eastAsia" w:ascii="宋体" w:hAnsi="宋体" w:eastAsia="宋体" w:cs="宋体"/>
                <w:b/>
                <w:color w:val="000000"/>
                <w:kern w:val="0"/>
                <w:sz w:val="20"/>
                <w:szCs w:val="20"/>
                <w:lang w:bidi="ar"/>
              </w:rPr>
              <w:t>分类代码</w:t>
            </w:r>
          </w:p>
        </w:tc>
        <w:tc>
          <w:tcPr>
            <w:tcW w:w="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部门经济分类名称</w:t>
            </w:r>
          </w:p>
        </w:tc>
        <w:tc>
          <w:tcPr>
            <w:tcW w:w="1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 目 名 称</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预算金额</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2050803</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50203</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培训费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培训费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日常公用支出（在职人员）_培训费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15606.00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2080505</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50102</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社会保障缴费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机关事业单位基本养老保险缴费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人员支出（在职非统发）_机关事业单位基本养老保险缴费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480889.44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2080506</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机关事业单位职业年金缴费支出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50102</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社会保障缴费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职业年金缴费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人员支出（在职非统发）_职业年金缴费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240444.72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行政单位离退休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50905</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离退休费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30302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退休费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对个人和家庭补助支出（离退休非统发）_退休费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35530.00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行政单位离退休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50999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其他对个人和家庭的补助</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30399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其他对个人和家庭的补助</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对个人和家庭补助支出（离退休非统发）_其他对个人和家庭的补助</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行政单位离退休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日常公用支出（离退休人员）_其他商品和服务支出</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4270.00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基本工资</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人员支出（在职统发）_基本工资</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758412.00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津贴补贴</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人员支出（在职统发）_津贴补贴</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2015076.00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奖金</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人员支出（在职统发）_奖金</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255000.00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其他工资福利支出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其他工资福利支出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人员支出（在职统发）_其他工资福利支出</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63201.00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50102</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社会保障缴费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30112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其他社会保障缴费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人员支出（在职非统发）_其他社会保障缴费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30055.59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其他工资福利支出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其他工资福利支出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人员支出（在职非统发）_其他工资福利支出</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237600.00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津贴补贴</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对个人和家庭补助支出（在职统发）_津贴补贴</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75630.00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30239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其他交通费用</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对个人和家庭补助支出（在职统发）_其他交通费用</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144000.00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50999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其他对个人和家庭的补助</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30399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其他对个人和家庭的补助</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对个人和家庭补助支出（在职统发）_其他对个人和家庭的补助</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134880.00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30201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办公费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日常公用支出（在职人员）_办公费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36000.00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30205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日常公用支出（在职人员）_水费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7200.00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30206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日常公用支出（在职人员）_电费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48600.00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30207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邮电费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日常公用支出（在职人员）_邮电费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19000.00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差旅费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日常公用支出（在职人员）_差旅费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11628.00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维修（护）费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维修（护）费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日常公用支出（在职人员）_维修（护）费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3600.00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50202</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会议费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日常公用支出（在职人员）_会议费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4590.00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50206</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公务接待费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公务接待费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日常公用支出（在职人员）_公务接待费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2488.23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30228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工会经费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日常公用支出（在职人员）_工会经费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55469.76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30229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福利费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日常公用支出（在职人员）_福利费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60912.00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日常公用支出（在职人员）_其他商品和服务支出</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161522.32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其他红十字事业支出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红十字理事会会议费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10000.00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其他红十字事业支出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50203</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培训费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30216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培训费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红十字专兼职干部培训</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44000.00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2081602</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50205</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委托业务费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30227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委托业务费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绩效自评工作经费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37500.00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其他红十字事业支出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红十字志愿服务活动经费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55000.00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其他红十字事业支出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造血干细胞工作站经费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148000.00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其他红十字事业支出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公益文化建设经费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601840.00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其他红十字事业支出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红十字青少年主题活动</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40000.00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2081699</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其他红十字事业支出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应急救护知识普及工作</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496980.00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2081602</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50299</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30299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其他商品和服务支出</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预留机动费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39301.56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行政单位医疗</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50102</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社会保障缴费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30112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其他社会保障缴费</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人员支出（在职非统发）_其他社会保障缴费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390722.67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2210203</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购房补贴</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30102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津贴补贴</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对个人和家庭补助支出（在职非统发）_津贴补贴</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361464.00 </w:t>
            </w:r>
          </w:p>
        </w:tc>
      </w:tr>
      <w:tr>
        <w:tblPrEx>
          <w:tblCellMar>
            <w:top w:w="0" w:type="dxa"/>
            <w:left w:w="0" w:type="dxa"/>
            <w:bottom w:w="0" w:type="dxa"/>
            <w:right w:w="0"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2210201</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50103</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30113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住房公积金</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对个人和家庭补助支出（在职非统发）_住房公积金</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397387.08 </w:t>
            </w:r>
          </w:p>
        </w:tc>
      </w:tr>
      <w:tr>
        <w:tblPrEx>
          <w:tblCellMar>
            <w:top w:w="0" w:type="dxa"/>
            <w:left w:w="0" w:type="dxa"/>
            <w:bottom w:w="0" w:type="dxa"/>
            <w:right w:w="0" w:type="dxa"/>
          </w:tblCellMar>
        </w:tblPrEx>
        <w:trPr>
          <w:trHeight w:val="4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合   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 xml:space="preserve">7524040.37 </w:t>
            </w:r>
          </w:p>
        </w:tc>
      </w:tr>
    </w:tbl>
    <w:p/>
    <w:p/>
    <w:p/>
    <w:p/>
    <w:p>
      <w:pPr>
        <w:pStyle w:val="4"/>
        <w:ind w:firstLine="0" w:firstLineChars="0"/>
        <w:rPr>
          <w:b/>
          <w:bCs w:val="0"/>
        </w:rPr>
      </w:pPr>
      <w:bookmarkStart w:id="28" w:name="_Toc27396"/>
      <w:r>
        <w:rPr>
          <w:rFonts w:hint="eastAsia"/>
          <w:b/>
          <w:bCs w:val="0"/>
        </w:rPr>
        <w:t>表十：专项转移支付预算表</w:t>
      </w:r>
      <w:bookmarkEnd w:id="28"/>
    </w:p>
    <w:p/>
    <w:tbl>
      <w:tblPr>
        <w:tblStyle w:val="11"/>
        <w:tblW w:w="9000" w:type="dxa"/>
        <w:tblInd w:w="0" w:type="dxa"/>
        <w:tblLayout w:type="fixed"/>
        <w:tblCellMar>
          <w:top w:w="0" w:type="dxa"/>
          <w:left w:w="0" w:type="dxa"/>
          <w:bottom w:w="0" w:type="dxa"/>
          <w:right w:w="0" w:type="dxa"/>
        </w:tblCellMar>
      </w:tblPr>
      <w:tblGrid>
        <w:gridCol w:w="1080"/>
        <w:gridCol w:w="1080"/>
        <w:gridCol w:w="1080"/>
        <w:gridCol w:w="1080"/>
        <w:gridCol w:w="1080"/>
        <w:gridCol w:w="1080"/>
        <w:gridCol w:w="1080"/>
        <w:gridCol w:w="1440"/>
      </w:tblGrid>
      <w:tr>
        <w:tblPrEx>
          <w:tblCellMar>
            <w:top w:w="0" w:type="dxa"/>
            <w:left w:w="0" w:type="dxa"/>
            <w:bottom w:w="0" w:type="dxa"/>
            <w:right w:w="0" w:type="dxa"/>
          </w:tblCellMar>
        </w:tblPrEx>
        <w:trPr>
          <w:trHeight w:val="270" w:hRule="atLeast"/>
        </w:trPr>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c>
          <w:tcPr>
            <w:tcW w:w="144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预算单位代码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功能科目代码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政府经济分类代码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部门经济分类代码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指标金额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市指标文号</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270" w:hRule="atLeast"/>
        </w:trPr>
        <w:tc>
          <w:tcPr>
            <w:tcW w:w="900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注：本单位无此类资金预算</w:t>
            </w:r>
          </w:p>
        </w:tc>
      </w:tr>
    </w:tbl>
    <w:p/>
    <w:p>
      <w:pPr>
        <w:pStyle w:val="3"/>
        <w:ind w:firstLine="640"/>
        <w:sectPr>
          <w:pgSz w:w="16838" w:h="11906" w:orient="landscape"/>
          <w:pgMar w:top="1797" w:right="1440" w:bottom="1797" w:left="1440" w:header="851" w:footer="992" w:gutter="0"/>
          <w:cols w:space="425" w:num="1"/>
          <w:docGrid w:type="linesAndChars" w:linePitch="312" w:charSpace="0"/>
        </w:sectPr>
      </w:pPr>
    </w:p>
    <w:p>
      <w:pPr>
        <w:pStyle w:val="3"/>
        <w:ind w:firstLine="0" w:firstLineChars="0"/>
        <w:jc w:val="center"/>
      </w:pPr>
      <w:bookmarkStart w:id="29" w:name="_Toc9932"/>
      <w:r>
        <w:rPr>
          <w:rFonts w:hint="eastAsia"/>
        </w:rPr>
        <w:t>表十一、部门整体支出绩效目标申报表</w:t>
      </w:r>
      <w:bookmarkEnd w:id="29"/>
    </w:p>
    <w:tbl>
      <w:tblPr>
        <w:tblStyle w:val="11"/>
        <w:tblW w:w="9541" w:type="dxa"/>
        <w:tblInd w:w="-432" w:type="dxa"/>
        <w:tblLayout w:type="fixed"/>
        <w:tblCellMar>
          <w:top w:w="0" w:type="dxa"/>
          <w:left w:w="108" w:type="dxa"/>
          <w:bottom w:w="0" w:type="dxa"/>
          <w:right w:w="108" w:type="dxa"/>
        </w:tblCellMar>
      </w:tblPr>
      <w:tblGrid>
        <w:gridCol w:w="1260"/>
        <w:gridCol w:w="1101"/>
        <w:gridCol w:w="1455"/>
        <w:gridCol w:w="867"/>
        <w:gridCol w:w="4858"/>
      </w:tblGrid>
      <w:tr>
        <w:tblPrEx>
          <w:tblCellMar>
            <w:top w:w="0" w:type="dxa"/>
            <w:left w:w="108" w:type="dxa"/>
            <w:bottom w:w="0" w:type="dxa"/>
            <w:right w:w="108" w:type="dxa"/>
          </w:tblCellMar>
        </w:tblPrEx>
        <w:trPr>
          <w:trHeight w:val="405" w:hRule="atLeast"/>
        </w:trPr>
        <w:tc>
          <w:tcPr>
            <w:tcW w:w="9541" w:type="dxa"/>
            <w:gridSpan w:val="5"/>
            <w:tcBorders>
              <w:bottom w:val="single" w:color="auto" w:sz="4" w:space="0"/>
            </w:tcBorders>
            <w:vAlign w:val="center"/>
          </w:tcPr>
          <w:p>
            <w:pPr>
              <w:widowControl/>
              <w:jc w:val="center"/>
              <w:rPr>
                <w:rFonts w:ascii="宋体" w:hAnsi="宋体" w:cs="宋体"/>
                <w:kern w:val="0"/>
                <w:sz w:val="32"/>
                <w:szCs w:val="32"/>
              </w:rPr>
            </w:pPr>
            <w:r>
              <w:rPr>
                <w:rFonts w:hint="eastAsia" w:ascii="宋体" w:hAnsi="宋体" w:cs="宋体"/>
                <w:kern w:val="0"/>
                <w:sz w:val="32"/>
                <w:szCs w:val="32"/>
              </w:rPr>
              <w:t>（</w:t>
            </w:r>
            <w:r>
              <w:rPr>
                <w:rFonts w:ascii="宋体" w:hAnsi="宋体"/>
                <w:kern w:val="0"/>
                <w:sz w:val="32"/>
                <w:szCs w:val="32"/>
              </w:rPr>
              <w:t xml:space="preserve"> </w:t>
            </w:r>
            <w:r>
              <w:rPr>
                <w:rFonts w:hint="eastAsia" w:ascii="宋体" w:hAnsi="宋体"/>
                <w:kern w:val="0"/>
                <w:sz w:val="32"/>
                <w:szCs w:val="32"/>
              </w:rPr>
              <w:t>2021</w:t>
            </w:r>
            <w:r>
              <w:rPr>
                <w:rFonts w:hint="eastAsia" w:ascii="宋体" w:hAnsi="宋体" w:cs="宋体"/>
                <w:kern w:val="0"/>
                <w:sz w:val="32"/>
                <w:szCs w:val="32"/>
              </w:rPr>
              <w:t>年度）</w:t>
            </w:r>
          </w:p>
        </w:tc>
      </w:tr>
      <w:tr>
        <w:tblPrEx>
          <w:tblCellMar>
            <w:top w:w="0" w:type="dxa"/>
            <w:left w:w="108" w:type="dxa"/>
            <w:bottom w:w="0" w:type="dxa"/>
            <w:right w:w="108" w:type="dxa"/>
          </w:tblCellMar>
        </w:tblPrEx>
        <w:trPr>
          <w:trHeight w:val="1219" w:hRule="exact"/>
        </w:trPr>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部门（单位）名称</w:t>
            </w:r>
          </w:p>
        </w:tc>
        <w:tc>
          <w:tcPr>
            <w:tcW w:w="8281"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北京市西城区红十字会</w:t>
            </w:r>
          </w:p>
        </w:tc>
      </w:tr>
      <w:tr>
        <w:tblPrEx>
          <w:tblCellMar>
            <w:top w:w="0" w:type="dxa"/>
            <w:left w:w="108" w:type="dxa"/>
            <w:bottom w:w="0" w:type="dxa"/>
            <w:right w:w="108" w:type="dxa"/>
          </w:tblCellMar>
        </w:tblPrEx>
        <w:trPr>
          <w:trHeight w:val="567" w:hRule="exact"/>
        </w:trPr>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部门（单位）总体资金情况（万元）</w:t>
            </w:r>
          </w:p>
        </w:tc>
        <w:tc>
          <w:tcPr>
            <w:tcW w:w="3423"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资金总额：</w:t>
            </w:r>
          </w:p>
        </w:tc>
        <w:tc>
          <w:tcPr>
            <w:tcW w:w="485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752.40</w:t>
            </w:r>
          </w:p>
        </w:tc>
      </w:tr>
      <w:tr>
        <w:tblPrEx>
          <w:tblCellMar>
            <w:top w:w="0" w:type="dxa"/>
            <w:left w:w="108" w:type="dxa"/>
            <w:bottom w:w="0" w:type="dxa"/>
            <w:right w:w="108" w:type="dxa"/>
          </w:tblCellMar>
        </w:tblPrEx>
        <w:trPr>
          <w:trHeight w:val="567" w:hRule="exact"/>
        </w:trPr>
        <w:tc>
          <w:tcPr>
            <w:tcW w:w="12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423"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48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605.14</w:t>
            </w:r>
          </w:p>
        </w:tc>
      </w:tr>
      <w:tr>
        <w:tblPrEx>
          <w:tblCellMar>
            <w:top w:w="0" w:type="dxa"/>
            <w:left w:w="108" w:type="dxa"/>
            <w:bottom w:w="0" w:type="dxa"/>
            <w:right w:w="108" w:type="dxa"/>
          </w:tblCellMar>
        </w:tblPrEx>
        <w:trPr>
          <w:trHeight w:val="636"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423" w:type="dxa"/>
            <w:gridSpan w:val="3"/>
            <w:tcBorders>
              <w:top w:val="nil"/>
              <w:left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c>
          <w:tcPr>
            <w:tcW w:w="4858" w:type="dxa"/>
            <w:tcBorders>
              <w:top w:val="single" w:color="auto" w:sz="4" w:space="0"/>
              <w:left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147.26</w:t>
            </w:r>
          </w:p>
        </w:tc>
      </w:tr>
      <w:tr>
        <w:tblPrEx>
          <w:tblCellMar>
            <w:top w:w="0" w:type="dxa"/>
            <w:left w:w="108" w:type="dxa"/>
            <w:bottom w:w="0" w:type="dxa"/>
            <w:right w:w="108" w:type="dxa"/>
          </w:tblCellMar>
        </w:tblPrEx>
        <w:trPr>
          <w:trHeight w:val="6924" w:hRule="exact"/>
        </w:trPr>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部门（单位）绩效目标</w:t>
            </w:r>
          </w:p>
        </w:tc>
        <w:tc>
          <w:tcPr>
            <w:tcW w:w="8281" w:type="dxa"/>
            <w:gridSpan w:val="4"/>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1.全年至少召开一次全区红十字理事会。按期缴纳中国红十字会总会理事会年度会费，参加总会理事会组织的会议。</w:t>
            </w:r>
          </w:p>
          <w:p>
            <w:pPr>
              <w:widowControl/>
              <w:spacing w:line="300" w:lineRule="exact"/>
              <w:rPr>
                <w:rFonts w:ascii="宋体" w:hAnsi="宋体" w:cs="宋体"/>
                <w:kern w:val="0"/>
                <w:sz w:val="20"/>
                <w:szCs w:val="20"/>
              </w:rPr>
            </w:pPr>
            <w:r>
              <w:rPr>
                <w:rFonts w:hint="eastAsia" w:ascii="宋体" w:hAnsi="宋体" w:cs="宋体"/>
                <w:kern w:val="0"/>
                <w:sz w:val="20"/>
                <w:szCs w:val="20"/>
              </w:rPr>
              <w:t>2.进一步加强组织建设，加大与会员单位的联系力度，指导会员单位结合自身资源优势与特点开展红十字工作和特色活动；加大对全区各级红十字组织专兼职干部、志愿者、信息员培训力度，提高红十字工作人员的职业化水平和创新能力、自律能力、服务能力，建设一支热爱事业、乐于奉献，精通业务、廉洁奉公的队伍。</w:t>
            </w:r>
          </w:p>
          <w:p>
            <w:pPr>
              <w:widowControl/>
              <w:spacing w:line="300" w:lineRule="exact"/>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3.充分发挥红十字组织作为党和政府在人道领域联系群众的桥梁和纽带作用，联系、组织社会各界慈善力量做好募捐工作，协助政府做好人道主义社会救助工作。</w:t>
            </w:r>
          </w:p>
          <w:p>
            <w:pPr>
              <w:widowControl/>
              <w:spacing w:line="300" w:lineRule="exact"/>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4.大力普及自救互救知识，全面提高辖区公众自救互救意识和知识技能，重点提高全区机关、企事业单位、社区居民，特别是学校和特殊行业从业人员应对灾害和突发事件的能力。</w:t>
            </w:r>
          </w:p>
          <w:p>
            <w:pPr>
              <w:widowControl/>
              <w:spacing w:line="300" w:lineRule="exact"/>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5.结合学校德育教育开展有红十字特色的青少年活动，在青少年中传播“人道、博爱、奉献”的红十字精神。</w:t>
            </w:r>
          </w:p>
          <w:p>
            <w:pPr>
              <w:widowControl/>
              <w:spacing w:line="300" w:lineRule="exact"/>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6.通过举办讲座、街头宣传等形式宣传义务献血和造血干细胞捐献，招募造血干细胞捐献志愿者，对在库志愿者进行跟踪回访，努力扩充并保持中华造血干细胞捐献者资料库容量。做好配型成功的捐献志愿者的服务工作，为造血干细胞捐献和运送工作提供保障。</w:t>
            </w:r>
          </w:p>
          <w:p>
            <w:pPr>
              <w:widowControl/>
              <w:spacing w:line="300" w:lineRule="exact"/>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7.指导志愿者队伍做好志愿服务活动方案的策划、组织、实施，积极组织志愿者队伍广泛开展志愿服务活动，着力打造有社会影响力的公益品牌项目。加强西城区红十字志愿队伍建设，增强红十字精神对志愿者的感召力，对优秀的红十字志愿者给予宣传，调动广大志愿者的积极性，主动性，增强归属感，使其经常、主动参与志愿服务活动，履行志愿者义务，用行动奉献社会。</w:t>
            </w:r>
          </w:p>
          <w:p>
            <w:pPr>
              <w:widowControl/>
              <w:spacing w:line="300" w:lineRule="exact"/>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8.充分利用各种活动和纪念日，应用多种媒体，尤其是新媒体，广泛宣传红十字运动、人道理念和红十字文化，营造良好舆论氛围，争取更多的社会爱心力量理解、支持、参与红十字事业。</w:t>
            </w:r>
          </w:p>
          <w:p>
            <w:pPr>
              <w:widowControl/>
              <w:spacing w:line="300" w:lineRule="exact"/>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9.充分发挥国际人道组织特色，加强与国内外红十字组织的交流与合作，互相学习、借鉴先进工作经验。助力精准扶贫，援助贫困地区人道公益项目。</w:t>
            </w:r>
          </w:p>
        </w:tc>
      </w:tr>
      <w:tr>
        <w:tblPrEx>
          <w:tblCellMar>
            <w:top w:w="0" w:type="dxa"/>
            <w:left w:w="108" w:type="dxa"/>
            <w:bottom w:w="0" w:type="dxa"/>
            <w:right w:w="108" w:type="dxa"/>
          </w:tblCellMar>
        </w:tblPrEx>
        <w:trPr>
          <w:trHeight w:val="794" w:hRule="exact"/>
        </w:trPr>
        <w:tc>
          <w:tcPr>
            <w:tcW w:w="1260" w:type="dxa"/>
            <w:vMerge w:val="restart"/>
            <w:tcBorders>
              <w:top w:val="single" w:color="auto" w:sz="4" w:space="0"/>
              <w:left w:val="single" w:color="auto" w:sz="4" w:space="0"/>
              <w:right w:val="single" w:color="auto" w:sz="4" w:space="0"/>
            </w:tcBorders>
            <w:vAlign w:val="center"/>
          </w:tcPr>
          <w:p>
            <w:pPr>
              <w:widowControl/>
              <w:ind w:left="-107" w:leftChars="-51"/>
              <w:jc w:val="center"/>
              <w:rPr>
                <w:rFonts w:ascii="宋体" w:hAnsi="宋体" w:cs="宋体"/>
                <w:kern w:val="0"/>
                <w:sz w:val="20"/>
                <w:szCs w:val="20"/>
              </w:rPr>
            </w:pPr>
            <w:r>
              <w:rPr>
                <w:rFonts w:hint="eastAsia" w:ascii="宋体" w:hAnsi="宋体" w:cs="宋体"/>
                <w:kern w:val="0"/>
                <w:sz w:val="20"/>
                <w:szCs w:val="20"/>
              </w:rPr>
              <w:t>绩效指标</w:t>
            </w:r>
          </w:p>
        </w:tc>
        <w:tc>
          <w:tcPr>
            <w:tcW w:w="110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一级指标</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二级指标</w:t>
            </w:r>
          </w:p>
        </w:tc>
        <w:tc>
          <w:tcPr>
            <w:tcW w:w="57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指标内容和指标值</w:t>
            </w:r>
          </w:p>
        </w:tc>
      </w:tr>
      <w:tr>
        <w:tblPrEx>
          <w:tblCellMar>
            <w:top w:w="0" w:type="dxa"/>
            <w:left w:w="108" w:type="dxa"/>
            <w:bottom w:w="0" w:type="dxa"/>
            <w:right w:w="108" w:type="dxa"/>
          </w:tblCellMar>
        </w:tblPrEx>
        <w:trPr>
          <w:trHeight w:val="584" w:hRule="atLeast"/>
        </w:trPr>
        <w:tc>
          <w:tcPr>
            <w:tcW w:w="12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101" w:type="dxa"/>
            <w:vMerge w:val="restart"/>
            <w:tcBorders>
              <w:top w:val="nil"/>
              <w:left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产出指标</w:t>
            </w:r>
          </w:p>
        </w:tc>
        <w:tc>
          <w:tcPr>
            <w:tcW w:w="14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产出数量指标</w:t>
            </w:r>
          </w:p>
        </w:tc>
        <w:tc>
          <w:tcPr>
            <w:tcW w:w="5725" w:type="dxa"/>
            <w:gridSpan w:val="2"/>
            <w:tcBorders>
              <w:top w:val="nil"/>
              <w:left w:val="single" w:color="auto" w:sz="4" w:space="0"/>
              <w:bottom w:val="single" w:color="auto" w:sz="4" w:space="0"/>
              <w:right w:val="single" w:color="auto" w:sz="4" w:space="0"/>
            </w:tcBorders>
            <w:vAlign w:val="center"/>
          </w:tcPr>
          <w:p>
            <w:pPr>
              <w:widowControl/>
              <w:spacing w:line="300" w:lineRule="exact"/>
              <w:rPr>
                <w:rFonts w:ascii="宋体" w:hAnsi="宋体" w:cs="宋体"/>
                <w:kern w:val="0"/>
                <w:sz w:val="20"/>
                <w:szCs w:val="20"/>
              </w:rPr>
            </w:pPr>
            <w:r>
              <w:rPr>
                <w:rFonts w:hint="eastAsia" w:ascii="宋体" w:hAnsi="宋体"/>
                <w:sz w:val="18"/>
                <w:szCs w:val="18"/>
              </w:rPr>
              <w:t>1.全年至少召开一次理事会，审议通过年度工作报告和工作计划；</w:t>
            </w:r>
            <w:r>
              <w:rPr>
                <w:rFonts w:hint="eastAsia" w:ascii="宋体" w:hAnsi="宋体" w:cs="宋体"/>
                <w:kern w:val="0"/>
                <w:sz w:val="20"/>
                <w:szCs w:val="20"/>
              </w:rPr>
              <w:t>按期缴纳中国红十字会总会理事会年度会费，参加总会理事会组织的会议。</w:t>
            </w:r>
          </w:p>
          <w:p>
            <w:pPr>
              <w:widowControl/>
              <w:spacing w:line="240" w:lineRule="atLeast"/>
              <w:rPr>
                <w:rFonts w:ascii="宋体" w:hAnsi="宋体"/>
                <w:sz w:val="18"/>
                <w:szCs w:val="18"/>
              </w:rPr>
            </w:pPr>
            <w:r>
              <w:rPr>
                <w:rFonts w:hint="eastAsia" w:ascii="宋体" w:hAnsi="宋体"/>
                <w:sz w:val="18"/>
                <w:szCs w:val="18"/>
              </w:rPr>
              <w:t>2. 至少举办1期培训班，对约80名红十字专兼职干部、信息员、志愿者骨干进行会法会务和业务培训，传达、解读与红十字会有关的法律法规、新政策、新要求。</w:t>
            </w:r>
          </w:p>
          <w:p>
            <w:pPr>
              <w:widowControl/>
              <w:spacing w:line="240" w:lineRule="atLeast"/>
              <w:rPr>
                <w:rFonts w:ascii="宋体" w:hAnsi="宋体" w:eastAsia="宋体"/>
                <w:sz w:val="18"/>
                <w:szCs w:val="18"/>
              </w:rPr>
            </w:pPr>
            <w:r>
              <w:rPr>
                <w:rFonts w:hint="eastAsia" w:ascii="宋体" w:hAnsi="宋体"/>
                <w:sz w:val="18"/>
                <w:szCs w:val="18"/>
              </w:rPr>
              <w:t>3.两节送温暖活动慰问困难家庭不少于700户，每户发放救助金1000元，发放市红十字划拨非典后遗症生活补助金。</w:t>
            </w:r>
          </w:p>
          <w:p>
            <w:pPr>
              <w:widowControl/>
              <w:spacing w:line="240" w:lineRule="atLeast"/>
              <w:rPr>
                <w:rFonts w:ascii="宋体" w:hAnsi="宋体"/>
                <w:sz w:val="18"/>
                <w:szCs w:val="18"/>
              </w:rPr>
            </w:pPr>
            <w:r>
              <w:rPr>
                <w:rFonts w:hint="eastAsia" w:ascii="宋体" w:hAnsi="宋体"/>
                <w:sz w:val="18"/>
                <w:szCs w:val="18"/>
              </w:rPr>
              <w:t>4.开展初级急救员和救护技能培训工作，力争向80000人次普及应急救护知识。提高区域干部、群众以及青少年应对突发事件自救互救能力，制作不同款式急救包，为各级红十字组织、学校、重点行业、人群配备、更新不同种类的急救、应急包。更新安装在公共服务机构自动体外除颤仪部件，提高公共服务机构和人员密集场所应急处置能力。</w:t>
            </w:r>
          </w:p>
          <w:p>
            <w:pPr>
              <w:widowControl/>
              <w:spacing w:line="240" w:lineRule="atLeast"/>
              <w:rPr>
                <w:rFonts w:ascii="宋体" w:hAnsi="宋体"/>
                <w:sz w:val="18"/>
                <w:szCs w:val="18"/>
              </w:rPr>
            </w:pPr>
            <w:r>
              <w:rPr>
                <w:rFonts w:hint="eastAsia" w:ascii="宋体" w:hAnsi="宋体"/>
                <w:sz w:val="18"/>
                <w:szCs w:val="18"/>
              </w:rPr>
              <w:t>5.组织队伍参加北京市红十字会组织的应急救护大赛。</w:t>
            </w:r>
          </w:p>
          <w:p>
            <w:pPr>
              <w:widowControl/>
              <w:spacing w:line="240" w:lineRule="atLeast"/>
              <w:rPr>
                <w:rFonts w:ascii="宋体" w:hAnsi="宋体"/>
                <w:sz w:val="18"/>
                <w:szCs w:val="18"/>
              </w:rPr>
            </w:pPr>
            <w:r>
              <w:rPr>
                <w:rFonts w:hint="eastAsia" w:ascii="宋体" w:hAnsi="宋体"/>
                <w:sz w:val="18"/>
                <w:szCs w:val="18"/>
              </w:rPr>
              <w:t>6.结合学校德育教育开展1项红十字青少年主题活动，在青少年中传播“人道、博爱、奉献”的红十字精神。</w:t>
            </w:r>
          </w:p>
          <w:p>
            <w:pPr>
              <w:widowControl/>
              <w:spacing w:line="240" w:lineRule="atLeast"/>
              <w:rPr>
                <w:rFonts w:ascii="宋体" w:hAnsi="宋体" w:eastAsia="宋体"/>
                <w:sz w:val="18"/>
                <w:szCs w:val="18"/>
              </w:rPr>
            </w:pPr>
            <w:r>
              <w:rPr>
                <w:rFonts w:hint="eastAsia" w:ascii="宋体" w:hAnsi="宋体"/>
                <w:sz w:val="18"/>
                <w:szCs w:val="18"/>
              </w:rPr>
              <w:t>7.广泛宣传义务献血和造血干细胞捐献，年内至少动员200人成为造血干细胞捐献志愿者加入中华造血干细胞捐献者资料库；对配型成功的捐献者进行慰问。</w:t>
            </w:r>
          </w:p>
          <w:p>
            <w:pPr>
              <w:widowControl/>
              <w:spacing w:line="240" w:lineRule="atLeast"/>
              <w:rPr>
                <w:rFonts w:ascii="宋体" w:hAnsi="宋体"/>
                <w:sz w:val="18"/>
                <w:szCs w:val="18"/>
              </w:rPr>
            </w:pPr>
            <w:r>
              <w:rPr>
                <w:rFonts w:hint="eastAsia" w:ascii="宋体" w:hAnsi="宋体"/>
                <w:sz w:val="18"/>
                <w:szCs w:val="18"/>
              </w:rPr>
              <w:t>8. 组织、指导志愿者开展各类志愿服务，如开展红十字社区服务，慰问社会福利机构，帮助空巢老人、残疾人解决出行、就医等困难，对服刑人员进行帮教。加强对志愿者的指导、服务与管理，对优秀志愿者进行宣传。</w:t>
            </w:r>
          </w:p>
          <w:p>
            <w:pPr>
              <w:widowControl/>
              <w:spacing w:line="240" w:lineRule="atLeast"/>
              <w:rPr>
                <w:rFonts w:ascii="宋体" w:hAnsi="宋体"/>
                <w:sz w:val="18"/>
                <w:szCs w:val="18"/>
              </w:rPr>
            </w:pPr>
            <w:r>
              <w:rPr>
                <w:rFonts w:hint="eastAsia" w:ascii="宋体" w:hAnsi="宋体"/>
                <w:sz w:val="18"/>
                <w:szCs w:val="18"/>
              </w:rPr>
              <w:t>9. 组织“5·8”世界红十字日公益文化月宣传活动。为区领导、理事、志愿者服务队、街道红十字会和各工委等基层人员订阅《中国红十字报》和《博爱》杂志各100份。购买会法、会务宣传品用于全年宣传活动。与各类知名、权威媒体和新媒体合作，及时发布各类会议、活动信息和工作动态，通过加强对红十字文化和红十字精神的宣传。</w:t>
            </w:r>
          </w:p>
          <w:p>
            <w:pPr>
              <w:widowControl/>
              <w:spacing w:line="240" w:lineRule="atLeast"/>
              <w:rPr>
                <w:rFonts w:ascii="宋体" w:hAnsi="宋体" w:eastAsia="宋体"/>
                <w:sz w:val="18"/>
                <w:szCs w:val="18"/>
              </w:rPr>
            </w:pPr>
            <w:r>
              <w:rPr>
                <w:rFonts w:hint="eastAsia" w:ascii="宋体" w:hAnsi="宋体"/>
                <w:sz w:val="18"/>
                <w:szCs w:val="18"/>
              </w:rPr>
              <w:t>10.按区财政要求开展绩效自评工作。</w:t>
            </w:r>
          </w:p>
        </w:tc>
      </w:tr>
      <w:tr>
        <w:tblPrEx>
          <w:tblCellMar>
            <w:top w:w="0" w:type="dxa"/>
            <w:left w:w="108" w:type="dxa"/>
            <w:bottom w:w="0" w:type="dxa"/>
            <w:right w:w="108" w:type="dxa"/>
          </w:tblCellMar>
        </w:tblPrEx>
        <w:trPr>
          <w:trHeight w:val="558" w:hRule="atLeast"/>
        </w:trPr>
        <w:tc>
          <w:tcPr>
            <w:tcW w:w="12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101"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产出质量指标</w:t>
            </w:r>
          </w:p>
        </w:tc>
        <w:tc>
          <w:tcPr>
            <w:tcW w:w="5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 w:val="18"/>
                <w:szCs w:val="18"/>
              </w:rPr>
            </w:pPr>
            <w:r>
              <w:rPr>
                <w:rFonts w:hint="eastAsia" w:ascii="宋体" w:hAnsi="宋体"/>
                <w:sz w:val="18"/>
                <w:szCs w:val="18"/>
              </w:rPr>
              <w:t>1.切实发挥理事会的决策、监督作用，加强与理事和理事单位的联系，充分挖掘其在不同领域的资源和潜力，推动红十字各项工作开展</w:t>
            </w:r>
          </w:p>
          <w:p>
            <w:pPr>
              <w:widowControl/>
              <w:spacing w:line="240" w:lineRule="atLeast"/>
              <w:rPr>
                <w:rFonts w:ascii="宋体" w:hAnsi="宋体"/>
                <w:sz w:val="18"/>
                <w:szCs w:val="18"/>
              </w:rPr>
            </w:pPr>
            <w:r>
              <w:rPr>
                <w:rFonts w:hint="eastAsia" w:ascii="宋体" w:hAnsi="宋体"/>
                <w:sz w:val="18"/>
                <w:szCs w:val="18"/>
              </w:rPr>
              <w:t>2.使专兼职干部和志愿者及时更新会法会务和业务知识，及时传达党和政府及上级红十字组织的最新会议、文件精神，掌握红十字事业的发展趋势和工作动态。</w:t>
            </w:r>
          </w:p>
          <w:p>
            <w:pPr>
              <w:widowControl/>
              <w:spacing w:line="240" w:lineRule="atLeast"/>
              <w:rPr>
                <w:rFonts w:ascii="宋体" w:hAnsi="宋体"/>
                <w:sz w:val="18"/>
                <w:szCs w:val="18"/>
              </w:rPr>
            </w:pPr>
            <w:r>
              <w:rPr>
                <w:rFonts w:hint="eastAsia" w:ascii="宋体" w:hAnsi="宋体"/>
                <w:sz w:val="18"/>
                <w:szCs w:val="18"/>
              </w:rPr>
              <w:t>3.应急救护培训按照市红十字会培训中心下发标准执行，保证完成课时和教学质量标准，学员应熟练掌握止血、包扎、固定、搬运、心脑血管疾病的处置、现场的心肺复苏技术，熟练使用便携式AED，学习防灾避险和突发事件应对，掌握群伤事件、火灾、地震、触电、溺水、异物堵赛等常见意外及家庭急症的紧急救护和处理，取得市会急救员、急救技能证人数达5064人次。</w:t>
            </w:r>
          </w:p>
          <w:p>
            <w:pPr>
              <w:widowControl/>
              <w:spacing w:line="240" w:lineRule="atLeast"/>
              <w:rPr>
                <w:rFonts w:ascii="宋体" w:hAnsi="宋体"/>
                <w:sz w:val="18"/>
                <w:szCs w:val="18"/>
              </w:rPr>
            </w:pPr>
            <w:r>
              <w:rPr>
                <w:rFonts w:hint="eastAsia" w:ascii="宋体" w:hAnsi="宋体"/>
                <w:sz w:val="18"/>
                <w:szCs w:val="18"/>
              </w:rPr>
              <w:t>4.为志愿者开展各项服务活动做好组织指导和服务保障。通过开展红十字志愿服务活动，更广泛地宣传红十字公益理念、争取更大范围的社会支持。提高红十字会的公信力、影响力。</w:t>
            </w:r>
          </w:p>
          <w:p>
            <w:pPr>
              <w:widowControl/>
              <w:spacing w:line="240" w:lineRule="atLeast"/>
              <w:rPr>
                <w:rFonts w:ascii="宋体" w:hAnsi="宋体"/>
                <w:sz w:val="18"/>
                <w:szCs w:val="18"/>
              </w:rPr>
            </w:pPr>
            <w:r>
              <w:rPr>
                <w:rFonts w:hint="eastAsia" w:ascii="宋体" w:hAnsi="宋体"/>
                <w:sz w:val="18"/>
                <w:szCs w:val="18"/>
              </w:rPr>
              <w:t>5.扩大无偿献血和造血干细胞捐献知识的知晓率，招募符合捐献条件的志愿者。通过宣传和回访，保持中华造血干细胞捐献者资料库有效容量，降低流失率、反悔率。做好配型成功的捐献志愿者的服务保障工作，确保造血干细胞捐献和运送工作顺利完成。</w:t>
            </w:r>
          </w:p>
          <w:p>
            <w:pPr>
              <w:widowControl/>
              <w:spacing w:line="240" w:lineRule="atLeast"/>
              <w:rPr>
                <w:rFonts w:ascii="宋体" w:hAnsi="宋体"/>
                <w:sz w:val="18"/>
                <w:szCs w:val="18"/>
              </w:rPr>
            </w:pPr>
            <w:r>
              <w:rPr>
                <w:rFonts w:hint="eastAsia" w:ascii="宋体" w:hAnsi="宋体"/>
                <w:sz w:val="18"/>
                <w:szCs w:val="18"/>
              </w:rPr>
              <w:t>6.按时保质完成绩效自评工作，上交自评报告。</w:t>
            </w:r>
          </w:p>
        </w:tc>
      </w:tr>
      <w:tr>
        <w:tblPrEx>
          <w:tblCellMar>
            <w:top w:w="0" w:type="dxa"/>
            <w:left w:w="108" w:type="dxa"/>
            <w:bottom w:w="0" w:type="dxa"/>
            <w:right w:w="108" w:type="dxa"/>
          </w:tblCellMar>
        </w:tblPrEx>
        <w:trPr>
          <w:trHeight w:val="660" w:hRule="atLeast"/>
        </w:trPr>
        <w:tc>
          <w:tcPr>
            <w:tcW w:w="12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101"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产出进度指标</w:t>
            </w:r>
          </w:p>
        </w:tc>
        <w:tc>
          <w:tcPr>
            <w:tcW w:w="5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 w:val="18"/>
                <w:szCs w:val="18"/>
              </w:rPr>
            </w:pPr>
            <w:r>
              <w:rPr>
                <w:rFonts w:hint="eastAsia" w:ascii="宋体" w:hAnsi="宋体"/>
                <w:sz w:val="18"/>
                <w:szCs w:val="18"/>
              </w:rPr>
              <w:t>1.上半年完成区级理事会；下半年参加总会理事会。</w:t>
            </w:r>
          </w:p>
          <w:p>
            <w:pPr>
              <w:widowControl/>
              <w:spacing w:line="240" w:lineRule="atLeast"/>
              <w:rPr>
                <w:rFonts w:ascii="宋体" w:hAnsi="宋体"/>
                <w:sz w:val="18"/>
                <w:szCs w:val="18"/>
              </w:rPr>
            </w:pPr>
            <w:r>
              <w:rPr>
                <w:rFonts w:hint="eastAsia" w:ascii="宋体" w:hAnsi="宋体"/>
                <w:sz w:val="18"/>
                <w:szCs w:val="18"/>
              </w:rPr>
              <w:t>2.9月底前完成专兼职干部、信息员、志愿者骨干培训。</w:t>
            </w:r>
          </w:p>
          <w:p>
            <w:pPr>
              <w:widowControl/>
              <w:spacing w:line="240" w:lineRule="atLeast"/>
              <w:rPr>
                <w:rFonts w:ascii="宋体" w:hAnsi="宋体"/>
                <w:sz w:val="18"/>
                <w:szCs w:val="18"/>
              </w:rPr>
            </w:pPr>
            <w:r>
              <w:rPr>
                <w:rFonts w:hint="eastAsia" w:ascii="宋体" w:hAnsi="宋体"/>
                <w:sz w:val="18"/>
                <w:szCs w:val="18"/>
              </w:rPr>
              <w:t>3.6月底完成与“五.八”世界红十字日相关的的宣传活动。充分利用各种活动和纪念日，广泛宣传红十字运动、人道理念和红十字文化。11月完成报刊订阅工作。</w:t>
            </w:r>
          </w:p>
          <w:p>
            <w:pPr>
              <w:widowControl/>
              <w:spacing w:line="240" w:lineRule="atLeast"/>
              <w:rPr>
                <w:rFonts w:ascii="宋体" w:hAnsi="宋体"/>
                <w:sz w:val="18"/>
                <w:szCs w:val="18"/>
              </w:rPr>
            </w:pPr>
            <w:r>
              <w:rPr>
                <w:rFonts w:hint="eastAsia" w:ascii="宋体" w:hAnsi="宋体"/>
                <w:sz w:val="18"/>
                <w:szCs w:val="18"/>
              </w:rPr>
              <w:t>4.按全区统一时间安排完成绩效自评工作。</w:t>
            </w:r>
          </w:p>
          <w:p>
            <w:pPr>
              <w:widowControl/>
              <w:spacing w:line="240" w:lineRule="atLeast"/>
              <w:rPr>
                <w:rFonts w:ascii="宋体" w:hAnsi="宋体"/>
                <w:sz w:val="18"/>
                <w:szCs w:val="18"/>
              </w:rPr>
            </w:pPr>
          </w:p>
        </w:tc>
      </w:tr>
      <w:tr>
        <w:tblPrEx>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101"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产出成本指标</w:t>
            </w:r>
          </w:p>
        </w:tc>
        <w:tc>
          <w:tcPr>
            <w:tcW w:w="5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 w:val="18"/>
                <w:szCs w:val="18"/>
              </w:rPr>
            </w:pPr>
            <w:r>
              <w:rPr>
                <w:rFonts w:hint="eastAsia" w:ascii="宋体" w:hAnsi="宋体"/>
                <w:sz w:val="18"/>
                <w:szCs w:val="18"/>
              </w:rPr>
              <w:t>各项支出控制在预算范围内，并按照相关财税政策严格控制成本</w:t>
            </w:r>
          </w:p>
        </w:tc>
      </w:tr>
      <w:tr>
        <w:tblPrEx>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101"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效果指标</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p>
            <w:pPr>
              <w:widowControl/>
              <w:jc w:val="center"/>
              <w:rPr>
                <w:rFonts w:ascii="宋体" w:hAnsi="宋体" w:cs="宋体"/>
                <w:kern w:val="0"/>
                <w:sz w:val="20"/>
                <w:szCs w:val="20"/>
              </w:rPr>
            </w:pPr>
          </w:p>
        </w:tc>
        <w:tc>
          <w:tcPr>
            <w:tcW w:w="5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 w:val="18"/>
                <w:szCs w:val="18"/>
              </w:rPr>
            </w:pPr>
            <w:r>
              <w:rPr>
                <w:rFonts w:hint="eastAsia" w:ascii="宋体" w:hAnsi="宋体"/>
                <w:sz w:val="18"/>
                <w:szCs w:val="18"/>
              </w:rPr>
              <w:t>1.充分发挥以理事会为核心的运行机制，集思广益，在执行过程中发挥群力，在运行过程中发挥监督作用，使运行效果能够高效透明，真正发挥理事的“理事作用”。</w:t>
            </w:r>
          </w:p>
          <w:p>
            <w:pPr>
              <w:widowControl/>
              <w:spacing w:line="240" w:lineRule="atLeast"/>
              <w:rPr>
                <w:rFonts w:ascii="宋体" w:hAnsi="宋体"/>
                <w:sz w:val="18"/>
                <w:szCs w:val="18"/>
              </w:rPr>
            </w:pPr>
            <w:r>
              <w:rPr>
                <w:rFonts w:hint="eastAsia" w:ascii="宋体" w:hAnsi="宋体"/>
                <w:sz w:val="18"/>
                <w:szCs w:val="18"/>
              </w:rPr>
              <w:t>2.通过举办培训班切实增强专兼职干部和志愿者对红十字工作的理解和支持，加强区红十字会与基层组织间的联系和基层组织间的横向联系，争取更大范围的社会支持。</w:t>
            </w:r>
          </w:p>
          <w:p>
            <w:pPr>
              <w:widowControl/>
              <w:spacing w:line="240" w:lineRule="atLeast"/>
              <w:rPr>
                <w:rFonts w:ascii="宋体" w:hAnsi="宋体"/>
                <w:sz w:val="18"/>
                <w:szCs w:val="18"/>
              </w:rPr>
            </w:pPr>
            <w:r>
              <w:rPr>
                <w:rFonts w:hint="eastAsia" w:ascii="宋体" w:hAnsi="宋体"/>
                <w:sz w:val="18"/>
                <w:szCs w:val="18"/>
              </w:rPr>
              <w:t>3.通过宣传，争取获得社会各界的支持，使红十字事业持续发展，更好的开展人道活动，更好的展示红十字会在新时代的新气象、新作为。</w:t>
            </w:r>
          </w:p>
          <w:p>
            <w:pPr>
              <w:widowControl/>
              <w:spacing w:line="240" w:lineRule="atLeast"/>
              <w:rPr>
                <w:rFonts w:ascii="宋体" w:hAnsi="宋体"/>
                <w:sz w:val="18"/>
                <w:szCs w:val="18"/>
              </w:rPr>
            </w:pPr>
            <w:r>
              <w:rPr>
                <w:rFonts w:hint="eastAsia" w:ascii="宋体" w:hAnsi="宋体"/>
                <w:sz w:val="18"/>
                <w:szCs w:val="18"/>
              </w:rPr>
              <w:t>4.将志愿服务的专业性、稳定性和群众性、广泛性相结合，使志愿服务能持久开展并随着社会发展和群众需求而不断发展。</w:t>
            </w:r>
          </w:p>
          <w:p>
            <w:pPr>
              <w:widowControl/>
              <w:spacing w:line="240" w:lineRule="atLeast"/>
              <w:rPr>
                <w:rFonts w:ascii="宋体" w:hAnsi="宋体"/>
                <w:sz w:val="18"/>
                <w:szCs w:val="18"/>
              </w:rPr>
            </w:pPr>
            <w:r>
              <w:rPr>
                <w:rFonts w:hint="eastAsia" w:ascii="宋体" w:hAnsi="宋体"/>
                <w:sz w:val="18"/>
                <w:szCs w:val="18"/>
              </w:rPr>
              <w:t>5.通过宣传无偿献血和造血干细胞捐献理念、知识，让更多人了解并参与此项事业成为捐献志愿者，为血液病患者带去生命的希望</w:t>
            </w:r>
          </w:p>
          <w:p>
            <w:pPr>
              <w:widowControl/>
              <w:spacing w:line="240" w:lineRule="atLeast"/>
              <w:rPr>
                <w:rFonts w:ascii="宋体" w:hAnsi="宋体"/>
                <w:sz w:val="18"/>
                <w:szCs w:val="18"/>
              </w:rPr>
            </w:pPr>
          </w:p>
        </w:tc>
      </w:tr>
      <w:tr>
        <w:tblPrEx>
          <w:tblCellMar>
            <w:top w:w="0" w:type="dxa"/>
            <w:left w:w="108" w:type="dxa"/>
            <w:bottom w:w="0" w:type="dxa"/>
            <w:right w:w="108" w:type="dxa"/>
          </w:tblCellMar>
        </w:tblPrEx>
        <w:trPr>
          <w:trHeight w:val="596" w:hRule="atLeast"/>
        </w:trPr>
        <w:tc>
          <w:tcPr>
            <w:tcW w:w="12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01"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服务对象</w:t>
            </w:r>
          </w:p>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5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 w:val="18"/>
                <w:szCs w:val="18"/>
              </w:rPr>
            </w:pPr>
            <w:r>
              <w:rPr>
                <w:rFonts w:hint="eastAsia" w:ascii="宋体" w:hAnsi="宋体"/>
                <w:sz w:val="18"/>
                <w:szCs w:val="18"/>
              </w:rPr>
              <w:t>逐步提高公众对红十字会各项工作的认知度，争取更多社会力量参与红十字公益事业。</w:t>
            </w:r>
          </w:p>
        </w:tc>
      </w:tr>
      <w:tr>
        <w:tblPrEx>
          <w:tblCellMar>
            <w:top w:w="0" w:type="dxa"/>
            <w:left w:w="108" w:type="dxa"/>
            <w:bottom w:w="0" w:type="dxa"/>
            <w:right w:w="108" w:type="dxa"/>
          </w:tblCellMar>
        </w:tblPrEx>
        <w:trPr>
          <w:trHeight w:val="1518" w:hRule="exact"/>
        </w:trPr>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其他说明的问题</w:t>
            </w:r>
          </w:p>
        </w:tc>
        <w:tc>
          <w:tcPr>
            <w:tcW w:w="8281" w:type="dxa"/>
            <w:gridSpan w:val="4"/>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hAnsi="宋体"/>
                <w:sz w:val="18"/>
                <w:szCs w:val="18"/>
              </w:rPr>
            </w:pPr>
            <w:r>
              <w:rPr>
                <w:rFonts w:hint="eastAsia" w:ascii="宋体" w:hAnsi="宋体"/>
                <w:sz w:val="18"/>
                <w:szCs w:val="18"/>
              </w:rPr>
              <w:t>无</w:t>
            </w:r>
          </w:p>
        </w:tc>
      </w:tr>
    </w:tbl>
    <w:p/>
    <w:p/>
    <w:p/>
    <w:p/>
    <w:p/>
    <w:p/>
    <w:p/>
    <w:p/>
    <w:p/>
    <w:p/>
    <w:p/>
    <w:p/>
    <w:p/>
    <w:p/>
    <w:p/>
    <w:p/>
    <w:p/>
    <w:p/>
    <w:p>
      <w:pPr>
        <w:pStyle w:val="3"/>
        <w:ind w:firstLine="0" w:firstLineChars="0"/>
        <w:jc w:val="center"/>
      </w:pPr>
      <w:bookmarkStart w:id="30" w:name="_Toc21852"/>
      <w:r>
        <w:rPr>
          <w:rFonts w:hint="eastAsia"/>
        </w:rPr>
        <w:t>表十二、项目支出绩效目标申报表</w:t>
      </w:r>
      <w:bookmarkEnd w:id="30"/>
    </w:p>
    <w:p/>
    <w:tbl>
      <w:tblPr>
        <w:tblStyle w:val="11"/>
        <w:tblW w:w="7797" w:type="dxa"/>
        <w:tblInd w:w="675" w:type="dxa"/>
        <w:tblLayout w:type="fixed"/>
        <w:tblCellMar>
          <w:top w:w="0" w:type="dxa"/>
          <w:left w:w="108" w:type="dxa"/>
          <w:bottom w:w="0" w:type="dxa"/>
          <w:right w:w="108" w:type="dxa"/>
        </w:tblCellMar>
      </w:tblPr>
      <w:tblGrid>
        <w:gridCol w:w="1276"/>
        <w:gridCol w:w="6521"/>
      </w:tblGrid>
      <w:tr>
        <w:tblPrEx>
          <w:tblCellMar>
            <w:top w:w="0" w:type="dxa"/>
            <w:left w:w="108" w:type="dxa"/>
            <w:bottom w:w="0" w:type="dxa"/>
            <w:right w:w="108" w:type="dxa"/>
          </w:tblCellMar>
        </w:tblPrEx>
        <w:trPr>
          <w:trHeight w:val="270"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652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项目名称</w:t>
            </w:r>
          </w:p>
        </w:tc>
      </w:tr>
      <w:tr>
        <w:tblPrEx>
          <w:tblCellMar>
            <w:top w:w="0" w:type="dxa"/>
            <w:left w:w="108" w:type="dxa"/>
            <w:bottom w:w="0" w:type="dxa"/>
            <w:right w:w="108" w:type="dxa"/>
          </w:tblCellMar>
        </w:tblPrEx>
        <w:trPr>
          <w:trHeight w:val="67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65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8"/>
                <w:szCs w:val="28"/>
              </w:rPr>
            </w:pPr>
            <w:r>
              <w:rPr>
                <w:rFonts w:hint="eastAsia" w:ascii="宋体" w:hAnsi="宋体" w:eastAsia="宋体" w:cs="宋体"/>
                <w:color w:val="000000"/>
                <w:kern w:val="0"/>
                <w:sz w:val="24"/>
                <w:szCs w:val="24"/>
                <w:lang w:bidi="ar"/>
              </w:rPr>
              <w:t>公益文化建设经费</w:t>
            </w:r>
          </w:p>
        </w:tc>
      </w:tr>
    </w:tbl>
    <w:p/>
    <w:p>
      <w:pPr>
        <w:rPr>
          <w:b/>
        </w:rPr>
      </w:pPr>
    </w:p>
    <w:p>
      <w:pPr>
        <w:rPr>
          <w:b/>
        </w:rPr>
      </w:pPr>
      <w:r>
        <w:rPr>
          <w:rFonts w:hint="eastAsia"/>
          <w:b/>
        </w:rPr>
        <w:t>项目一：</w:t>
      </w:r>
    </w:p>
    <w:tbl>
      <w:tblPr>
        <w:tblStyle w:val="11"/>
        <w:tblW w:w="8605" w:type="dxa"/>
        <w:tblInd w:w="0" w:type="dxa"/>
        <w:tblLayout w:type="fixed"/>
        <w:tblCellMar>
          <w:top w:w="0" w:type="dxa"/>
          <w:left w:w="0" w:type="dxa"/>
          <w:bottom w:w="0" w:type="dxa"/>
          <w:right w:w="0" w:type="dxa"/>
        </w:tblCellMar>
      </w:tblPr>
      <w:tblGrid>
        <w:gridCol w:w="416"/>
        <w:gridCol w:w="418"/>
        <w:gridCol w:w="727"/>
        <w:gridCol w:w="1477"/>
        <w:gridCol w:w="454"/>
        <w:gridCol w:w="846"/>
        <w:gridCol w:w="861"/>
        <w:gridCol w:w="214"/>
        <w:gridCol w:w="3192"/>
      </w:tblGrid>
      <w:tr>
        <w:tblPrEx>
          <w:tblCellMar>
            <w:top w:w="0" w:type="dxa"/>
            <w:left w:w="0" w:type="dxa"/>
            <w:bottom w:w="0" w:type="dxa"/>
            <w:right w:w="0" w:type="dxa"/>
          </w:tblCellMar>
        </w:tblPrEx>
        <w:trPr>
          <w:trHeight w:val="675" w:hRule="atLeast"/>
        </w:trPr>
        <w:tc>
          <w:tcPr>
            <w:tcW w:w="8605"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项目支出绩效目标申报表</w:t>
            </w:r>
          </w:p>
        </w:tc>
      </w:tr>
      <w:tr>
        <w:tblPrEx>
          <w:tblCellMar>
            <w:top w:w="0" w:type="dxa"/>
            <w:left w:w="0" w:type="dxa"/>
            <w:bottom w:w="0" w:type="dxa"/>
            <w:right w:w="0" w:type="dxa"/>
          </w:tblCellMar>
        </w:tblPrEx>
        <w:trPr>
          <w:trHeight w:val="285" w:hRule="atLeast"/>
        </w:trPr>
        <w:tc>
          <w:tcPr>
            <w:tcW w:w="8605"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Style w:val="21"/>
                <w:rFonts w:hint="default"/>
                <w:lang w:bidi="ar"/>
              </w:rPr>
              <w:t>（</w:t>
            </w:r>
            <w:r>
              <w:rPr>
                <w:rStyle w:val="22"/>
                <w:rFonts w:hint="eastAsia" w:eastAsia="宋体"/>
                <w:lang w:bidi="ar"/>
              </w:rPr>
              <w:t>2021</w:t>
            </w:r>
            <w:r>
              <w:rPr>
                <w:rStyle w:val="21"/>
                <w:rFonts w:hint="default"/>
                <w:lang w:bidi="ar"/>
              </w:rPr>
              <w:t>年度）</w:t>
            </w:r>
          </w:p>
        </w:tc>
      </w:tr>
      <w:tr>
        <w:tblPrEx>
          <w:tblCellMar>
            <w:top w:w="0" w:type="dxa"/>
            <w:left w:w="0" w:type="dxa"/>
            <w:bottom w:w="0" w:type="dxa"/>
            <w:right w:w="0" w:type="dxa"/>
          </w:tblCellMar>
        </w:tblPrEx>
        <w:trPr>
          <w:trHeight w:val="439" w:hRule="atLeast"/>
        </w:trPr>
        <w:tc>
          <w:tcPr>
            <w:tcW w:w="156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704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公益文化建设经费</w:t>
            </w:r>
          </w:p>
        </w:tc>
      </w:tr>
      <w:tr>
        <w:tblPrEx>
          <w:tblCellMar>
            <w:top w:w="0" w:type="dxa"/>
            <w:left w:w="0" w:type="dxa"/>
            <w:bottom w:w="0" w:type="dxa"/>
            <w:right w:w="0" w:type="dxa"/>
          </w:tblCellMar>
        </w:tblPrEx>
        <w:trPr>
          <w:trHeight w:val="439" w:hRule="atLeast"/>
        </w:trPr>
        <w:tc>
          <w:tcPr>
            <w:tcW w:w="156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主管部门及代码</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北京市西城区红十字会</w:t>
            </w:r>
          </w:p>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262001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北京市西城区红十字会</w:t>
            </w:r>
          </w:p>
        </w:tc>
      </w:tr>
      <w:tr>
        <w:tblPrEx>
          <w:tblCellMar>
            <w:top w:w="0" w:type="dxa"/>
            <w:left w:w="0" w:type="dxa"/>
            <w:bottom w:w="0" w:type="dxa"/>
            <w:right w:w="0" w:type="dxa"/>
          </w:tblCellMar>
        </w:tblPrEx>
        <w:trPr>
          <w:trHeight w:val="439" w:hRule="atLeast"/>
        </w:trPr>
        <w:tc>
          <w:tcPr>
            <w:tcW w:w="15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项目负责人</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文菁</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联系电话</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83975417</w:t>
            </w:r>
          </w:p>
        </w:tc>
      </w:tr>
      <w:tr>
        <w:tblPrEx>
          <w:tblCellMar>
            <w:top w:w="0" w:type="dxa"/>
            <w:left w:w="0" w:type="dxa"/>
            <w:bottom w:w="0" w:type="dxa"/>
            <w:right w:w="0" w:type="dxa"/>
          </w:tblCellMar>
        </w:tblPrEx>
        <w:trPr>
          <w:trHeight w:val="439" w:hRule="atLeast"/>
        </w:trPr>
        <w:tc>
          <w:tcPr>
            <w:tcW w:w="1562"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项目属性</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项目期</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1--12月</w:t>
            </w:r>
          </w:p>
        </w:tc>
      </w:tr>
      <w:tr>
        <w:tblPrEx>
          <w:tblCellMar>
            <w:top w:w="0" w:type="dxa"/>
            <w:left w:w="0" w:type="dxa"/>
            <w:bottom w:w="0" w:type="dxa"/>
            <w:right w:w="0" w:type="dxa"/>
          </w:tblCellMar>
        </w:tblPrEx>
        <w:trPr>
          <w:trHeight w:val="439" w:hRule="atLeast"/>
        </w:trPr>
        <w:tc>
          <w:tcPr>
            <w:tcW w:w="15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项目资金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（万元）</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中期资金总额：</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707"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年度资金总额：</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60.18</w:t>
            </w:r>
          </w:p>
        </w:tc>
      </w:tr>
      <w:tr>
        <w:tblPrEx>
          <w:tblCellMar>
            <w:top w:w="0" w:type="dxa"/>
            <w:left w:w="0" w:type="dxa"/>
            <w:bottom w:w="0" w:type="dxa"/>
            <w:right w:w="0" w:type="dxa"/>
          </w:tblCellMar>
        </w:tblPrEx>
        <w:trPr>
          <w:trHeight w:val="439"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其中：财政拨款</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707"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其中：财政拨款</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60.18</w:t>
            </w:r>
          </w:p>
        </w:tc>
      </w:tr>
      <w:tr>
        <w:tblPrEx>
          <w:tblCellMar>
            <w:top w:w="0" w:type="dxa"/>
            <w:left w:w="0" w:type="dxa"/>
            <w:bottom w:w="0" w:type="dxa"/>
            <w:right w:w="0" w:type="dxa"/>
          </w:tblCellMar>
        </w:tblPrEx>
        <w:trPr>
          <w:trHeight w:val="439"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21"/>
                <w:rFonts w:hint="default"/>
                <w:sz w:val="18"/>
                <w:szCs w:val="18"/>
                <w:lang w:bidi="ar"/>
              </w:rPr>
              <w:t xml:space="preserve">        其他资金</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707"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Style w:val="21"/>
                <w:rFonts w:hint="default"/>
                <w:sz w:val="18"/>
                <w:szCs w:val="18"/>
                <w:lang w:bidi="ar"/>
              </w:rPr>
              <w:t xml:space="preserve">          其他资金</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22"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标</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Style w:val="21"/>
                <w:rFonts w:hint="default"/>
                <w:sz w:val="18"/>
                <w:szCs w:val="18"/>
                <w:lang w:bidi="ar"/>
              </w:rPr>
              <w:t>中期目标（20××年—20××+n年）</w:t>
            </w:r>
          </w:p>
        </w:tc>
        <w:tc>
          <w:tcPr>
            <w:tcW w:w="51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年度目标</w:t>
            </w:r>
          </w:p>
        </w:tc>
      </w:tr>
      <w:tr>
        <w:tblPrEx>
          <w:tblCellMar>
            <w:top w:w="0" w:type="dxa"/>
            <w:left w:w="0" w:type="dxa"/>
            <w:bottom w:w="0" w:type="dxa"/>
            <w:right w:w="0" w:type="dxa"/>
          </w:tblCellMar>
        </w:tblPrEx>
        <w:trPr>
          <w:trHeight w:val="45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目标1：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目标2：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目标3：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w:t>
            </w:r>
          </w:p>
        </w:tc>
        <w:tc>
          <w:tcPr>
            <w:tcW w:w="51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推动新修订的《中华人民共和国红十字会法》的学习宣传贯彻，帮助广大的红十字工作者、红十字会员以及社会各界人士准确理解红十字会法的立法原意和条文内涵，通过加强普法宣传，增强公众法制意识，推进社会法制建设和社会和谐发展，通过加强对红十字文化和红十字精神的宣传，在社会中营造“人道为本、博爱为怀、奉献为荣”的氛围，协助政府推进社会和谐发展。为纪念“世界红十字日”，进一步扩大红十字会的社会影响，凝聚更多的社会力量参与和支持红十字事业，根据总会、市会的整体宣传要求，更好的营造“五八”世界红十字日文化月浓厚的宣传氛围，在社会上集中传播人道精神，宣传红十字人、红十字志愿者热心服务基层、密切联系群众的行动，展示红十字会在新时代的新气象、新作为。充分展示各红十字工作委员会、街道红十字会、学校红十字会在红十字宣传工作中的活动风采和活动特点，创新宣传形式，丰富宣传内容，增强宣传实效。开展主题鲜明、活动内容新颖、可操作性强、群众喜闻乐见的宣传活动。</w:t>
            </w:r>
          </w:p>
        </w:tc>
      </w:tr>
      <w:tr>
        <w:tblPrEx>
          <w:tblCellMar>
            <w:top w:w="0" w:type="dxa"/>
            <w:left w:w="0" w:type="dxa"/>
            <w:bottom w:w="0" w:type="dxa"/>
            <w:right w:w="0" w:type="dxa"/>
          </w:tblCellMar>
        </w:tblPrEx>
        <w:trPr>
          <w:trHeight w:val="57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标</w:t>
            </w:r>
          </w:p>
        </w:tc>
        <w:tc>
          <w:tcPr>
            <w:tcW w:w="4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指标</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指标值</w:t>
            </w:r>
          </w:p>
        </w:tc>
      </w:tr>
      <w:tr>
        <w:tblPrEx>
          <w:tblCellMar>
            <w:top w:w="0" w:type="dxa"/>
            <w:left w:w="0" w:type="dxa"/>
            <w:bottom w:w="0" w:type="dxa"/>
            <w:right w:w="0" w:type="dxa"/>
          </w:tblCellMar>
        </w:tblPrEx>
        <w:trPr>
          <w:trHeight w:val="14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标</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组织有关委办局及全区15个街道红十字会、5个红十字工作委员会和中小学校红十字会等红十字会员举办上下联动、群众广泛参与的大型综合性宣传活动--“5·8”世界红十字日公益文化月宣传活动。</w:t>
            </w:r>
          </w:p>
        </w:tc>
      </w:tr>
      <w:tr>
        <w:tblPrEx>
          <w:tblCellMar>
            <w:top w:w="0" w:type="dxa"/>
            <w:left w:w="0" w:type="dxa"/>
            <w:bottom w:w="0" w:type="dxa"/>
            <w:right w:w="0" w:type="dxa"/>
          </w:tblCellMar>
        </w:tblPrEx>
        <w:trPr>
          <w:trHeight w:val="126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为区领导、理事、志愿者服务队、街道红十字会和各工委等基层人员订阅《中国红十字报》和《博爱》杂志各100份。</w:t>
            </w:r>
          </w:p>
        </w:tc>
      </w:tr>
      <w:tr>
        <w:tblPrEx>
          <w:tblCellMar>
            <w:top w:w="0" w:type="dxa"/>
            <w:left w:w="0" w:type="dxa"/>
            <w:bottom w:w="0" w:type="dxa"/>
            <w:right w:w="0" w:type="dxa"/>
          </w:tblCellMar>
        </w:tblPrEx>
        <w:trPr>
          <w:trHeight w:val="63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指标:3：</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购买会法、会务宣传品用于全年宣传活动。</w:t>
            </w: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3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sz w:val="18"/>
                <w:szCs w:val="18"/>
              </w:rPr>
              <w:t>与各类知名、权威媒体和新媒体合作，及时发布各类会议、活动信息和工作动态，通过加强对红十字文化和红十字精神的宣传，</w:t>
            </w:r>
            <w:r>
              <w:rPr>
                <w:rFonts w:hint="eastAsia" w:ascii="宋体" w:hAnsi="宋体" w:eastAsia="宋体" w:cs="宋体"/>
                <w:color w:val="000000"/>
                <w:kern w:val="0"/>
                <w:sz w:val="18"/>
                <w:szCs w:val="18"/>
                <w:lang w:bidi="ar"/>
              </w:rPr>
              <w:t>通过加强对红十字文化和红十字精神的宣传，在社会中营造“人道为本、博爱为怀、奉献为荣”的氛围。</w:t>
            </w: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进度指标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进度指标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3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6月底完成与“五.八”世界红十字日相关的的宣传活动。充分利用各种活动和纪念日，广泛宣传红十字运动、人道理念和红十字文化。11月完成报刊订阅工作。</w:t>
            </w: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9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成本指标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成本指标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红十字会法会务宣传10000元</w:t>
            </w: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媒体宣传费用300000元</w:t>
            </w:r>
          </w:p>
        </w:tc>
      </w:tr>
      <w:tr>
        <w:tblPrEx>
          <w:tblCellMar>
            <w:top w:w="0" w:type="dxa"/>
            <w:left w:w="0" w:type="dxa"/>
            <w:bottom w:w="0" w:type="dxa"/>
            <w:right w:w="0" w:type="dxa"/>
          </w:tblCellMar>
        </w:tblPrEx>
        <w:trPr>
          <w:trHeight w:val="61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指标3</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“5·8”世界红十字日公益文化月宣传活动271200元</w:t>
            </w:r>
          </w:p>
        </w:tc>
      </w:tr>
      <w:tr>
        <w:tblPrEx>
          <w:tblCellMar>
            <w:top w:w="0" w:type="dxa"/>
            <w:left w:w="0" w:type="dxa"/>
            <w:bottom w:w="0" w:type="dxa"/>
            <w:right w:w="0" w:type="dxa"/>
          </w:tblCellMar>
        </w:tblPrEx>
        <w:trPr>
          <w:trHeight w:val="61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指标4</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订阅中国红十字总会业务报刊（一报一刊20640元）</w:t>
            </w: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标</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3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通过全区各级红十字组织的共同努力， 通过宣传，争取获得社会各界的支持，使红十字事业持续发展，更好的开展人道活动，更好的展示红十字会在新时代的新气象、新作为。</w:t>
            </w: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满意度指标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服务对象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满意度指标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指标1：</w:t>
            </w:r>
          </w:p>
        </w:tc>
        <w:tc>
          <w:tcPr>
            <w:tcW w:w="3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逐步提高公众对红十字的认知度和满意度</w:t>
            </w:r>
          </w:p>
        </w:tc>
      </w:tr>
      <w:tr>
        <w:tblPrEx>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指标2：</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bl>
    <w:p>
      <w:pPr>
        <w:rPr>
          <w:b/>
        </w:rPr>
      </w:pPr>
    </w:p>
    <w:p>
      <w:pPr>
        <w:rPr>
          <w:b/>
        </w:rPr>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44989486"/>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25</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257013"/>
    </w:sdtPr>
    <w:sdtEndPr>
      <w:rPr>
        <w:sz w:val="28"/>
        <w:szCs w:val="28"/>
      </w:rPr>
    </w:sdtEndPr>
    <w:sdtContent>
      <w:p>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26</w:t>
        </w:r>
        <w:r>
          <w:rPr>
            <w:sz w:val="28"/>
            <w:szCs w:val="28"/>
          </w:rPr>
          <w:fldChar w:fldCharType="end"/>
        </w:r>
      </w:p>
    </w:sdtContent>
  </w:sdt>
  <w:p>
    <w:pPr>
      <w:pStyle w:val="7"/>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16"/>
    <w:rsid w:val="0000070D"/>
    <w:rsid w:val="00005ECA"/>
    <w:rsid w:val="00013B66"/>
    <w:rsid w:val="00025377"/>
    <w:rsid w:val="00032A5A"/>
    <w:rsid w:val="00036519"/>
    <w:rsid w:val="00054E17"/>
    <w:rsid w:val="00057080"/>
    <w:rsid w:val="00067C19"/>
    <w:rsid w:val="00077133"/>
    <w:rsid w:val="00086245"/>
    <w:rsid w:val="000A31CC"/>
    <w:rsid w:val="000A5A86"/>
    <w:rsid w:val="000A659A"/>
    <w:rsid w:val="000B11FA"/>
    <w:rsid w:val="000B2431"/>
    <w:rsid w:val="000B355E"/>
    <w:rsid w:val="000C23EF"/>
    <w:rsid w:val="000D313A"/>
    <w:rsid w:val="000E00E5"/>
    <w:rsid w:val="000E5FCE"/>
    <w:rsid w:val="000E623D"/>
    <w:rsid w:val="000F2F7D"/>
    <w:rsid w:val="001019CA"/>
    <w:rsid w:val="001112F8"/>
    <w:rsid w:val="001134B5"/>
    <w:rsid w:val="00113D69"/>
    <w:rsid w:val="001143B3"/>
    <w:rsid w:val="00122EB9"/>
    <w:rsid w:val="0012319E"/>
    <w:rsid w:val="00123E71"/>
    <w:rsid w:val="001272C0"/>
    <w:rsid w:val="0014729D"/>
    <w:rsid w:val="00163B54"/>
    <w:rsid w:val="00163CDF"/>
    <w:rsid w:val="001677DD"/>
    <w:rsid w:val="00173982"/>
    <w:rsid w:val="00176ECE"/>
    <w:rsid w:val="00182275"/>
    <w:rsid w:val="00183AD5"/>
    <w:rsid w:val="00185433"/>
    <w:rsid w:val="001929DA"/>
    <w:rsid w:val="00193836"/>
    <w:rsid w:val="0019476D"/>
    <w:rsid w:val="001B2570"/>
    <w:rsid w:val="001B291A"/>
    <w:rsid w:val="001B37E1"/>
    <w:rsid w:val="001E384B"/>
    <w:rsid w:val="001F0D77"/>
    <w:rsid w:val="001F188C"/>
    <w:rsid w:val="001F400C"/>
    <w:rsid w:val="001F488B"/>
    <w:rsid w:val="001F7A27"/>
    <w:rsid w:val="0020764C"/>
    <w:rsid w:val="00207C2D"/>
    <w:rsid w:val="00210316"/>
    <w:rsid w:val="00217B0F"/>
    <w:rsid w:val="0022380B"/>
    <w:rsid w:val="002243F4"/>
    <w:rsid w:val="00233B0F"/>
    <w:rsid w:val="00236972"/>
    <w:rsid w:val="00240394"/>
    <w:rsid w:val="0024108B"/>
    <w:rsid w:val="00241728"/>
    <w:rsid w:val="002428C3"/>
    <w:rsid w:val="00251542"/>
    <w:rsid w:val="002553CF"/>
    <w:rsid w:val="002611E8"/>
    <w:rsid w:val="00262CB9"/>
    <w:rsid w:val="00265C3D"/>
    <w:rsid w:val="002664C6"/>
    <w:rsid w:val="00271583"/>
    <w:rsid w:val="00273F1B"/>
    <w:rsid w:val="00277DBA"/>
    <w:rsid w:val="002810F2"/>
    <w:rsid w:val="00287AEF"/>
    <w:rsid w:val="002A60CC"/>
    <w:rsid w:val="002B22AA"/>
    <w:rsid w:val="002B6D99"/>
    <w:rsid w:val="002C20D7"/>
    <w:rsid w:val="002C3DD3"/>
    <w:rsid w:val="002D37E2"/>
    <w:rsid w:val="002D4B99"/>
    <w:rsid w:val="002E2C89"/>
    <w:rsid w:val="002F060C"/>
    <w:rsid w:val="002F3531"/>
    <w:rsid w:val="002F4E24"/>
    <w:rsid w:val="00301674"/>
    <w:rsid w:val="00304344"/>
    <w:rsid w:val="00305539"/>
    <w:rsid w:val="0031384F"/>
    <w:rsid w:val="003230BF"/>
    <w:rsid w:val="00324378"/>
    <w:rsid w:val="003277E7"/>
    <w:rsid w:val="003278B9"/>
    <w:rsid w:val="00330459"/>
    <w:rsid w:val="0034756D"/>
    <w:rsid w:val="00347B7F"/>
    <w:rsid w:val="00350C8B"/>
    <w:rsid w:val="00353345"/>
    <w:rsid w:val="0035627A"/>
    <w:rsid w:val="0035652B"/>
    <w:rsid w:val="00356C7D"/>
    <w:rsid w:val="00360B31"/>
    <w:rsid w:val="00362AD3"/>
    <w:rsid w:val="00371267"/>
    <w:rsid w:val="003741D7"/>
    <w:rsid w:val="00375611"/>
    <w:rsid w:val="00380CEF"/>
    <w:rsid w:val="00381630"/>
    <w:rsid w:val="00393A34"/>
    <w:rsid w:val="003A174F"/>
    <w:rsid w:val="003A44AB"/>
    <w:rsid w:val="003B7A4D"/>
    <w:rsid w:val="003C41AB"/>
    <w:rsid w:val="003C5857"/>
    <w:rsid w:val="003D36B2"/>
    <w:rsid w:val="003D4CAE"/>
    <w:rsid w:val="003E7CC4"/>
    <w:rsid w:val="00416205"/>
    <w:rsid w:val="0042188A"/>
    <w:rsid w:val="00427630"/>
    <w:rsid w:val="004347E1"/>
    <w:rsid w:val="00434976"/>
    <w:rsid w:val="004408BC"/>
    <w:rsid w:val="00440DAA"/>
    <w:rsid w:val="0044441D"/>
    <w:rsid w:val="004533F4"/>
    <w:rsid w:val="00454A1A"/>
    <w:rsid w:val="00457ADB"/>
    <w:rsid w:val="00472962"/>
    <w:rsid w:val="00474A2C"/>
    <w:rsid w:val="0047565A"/>
    <w:rsid w:val="0047791D"/>
    <w:rsid w:val="0048437E"/>
    <w:rsid w:val="004844F2"/>
    <w:rsid w:val="00484EC5"/>
    <w:rsid w:val="00491150"/>
    <w:rsid w:val="00494415"/>
    <w:rsid w:val="004A466B"/>
    <w:rsid w:val="004B5129"/>
    <w:rsid w:val="004B5B88"/>
    <w:rsid w:val="004C2A3C"/>
    <w:rsid w:val="004C570D"/>
    <w:rsid w:val="004D4B77"/>
    <w:rsid w:val="004D57F4"/>
    <w:rsid w:val="004E37DB"/>
    <w:rsid w:val="004E7A63"/>
    <w:rsid w:val="005004E9"/>
    <w:rsid w:val="00507393"/>
    <w:rsid w:val="00514057"/>
    <w:rsid w:val="005143D9"/>
    <w:rsid w:val="00514843"/>
    <w:rsid w:val="005156EB"/>
    <w:rsid w:val="0052306E"/>
    <w:rsid w:val="00524CF2"/>
    <w:rsid w:val="005259BB"/>
    <w:rsid w:val="00531399"/>
    <w:rsid w:val="00541801"/>
    <w:rsid w:val="00546415"/>
    <w:rsid w:val="005665F1"/>
    <w:rsid w:val="00566868"/>
    <w:rsid w:val="00570A09"/>
    <w:rsid w:val="00571A9A"/>
    <w:rsid w:val="00576AD8"/>
    <w:rsid w:val="00585FE0"/>
    <w:rsid w:val="0058718B"/>
    <w:rsid w:val="0059087A"/>
    <w:rsid w:val="00597439"/>
    <w:rsid w:val="005B206E"/>
    <w:rsid w:val="005C06BC"/>
    <w:rsid w:val="005C2169"/>
    <w:rsid w:val="005C4363"/>
    <w:rsid w:val="005D6998"/>
    <w:rsid w:val="005E1BA4"/>
    <w:rsid w:val="005E3FBA"/>
    <w:rsid w:val="005E7CD4"/>
    <w:rsid w:val="005F1B33"/>
    <w:rsid w:val="00600F22"/>
    <w:rsid w:val="00626DBC"/>
    <w:rsid w:val="0063372D"/>
    <w:rsid w:val="006403D1"/>
    <w:rsid w:val="00644FA0"/>
    <w:rsid w:val="00645F97"/>
    <w:rsid w:val="0065001F"/>
    <w:rsid w:val="0066021A"/>
    <w:rsid w:val="0066259B"/>
    <w:rsid w:val="00665CBB"/>
    <w:rsid w:val="006A3D73"/>
    <w:rsid w:val="006B62E2"/>
    <w:rsid w:val="006C0AE8"/>
    <w:rsid w:val="006C5075"/>
    <w:rsid w:val="006C6DD5"/>
    <w:rsid w:val="006D37A7"/>
    <w:rsid w:val="006D3EEF"/>
    <w:rsid w:val="006F79B6"/>
    <w:rsid w:val="00706024"/>
    <w:rsid w:val="00720330"/>
    <w:rsid w:val="00720662"/>
    <w:rsid w:val="00722688"/>
    <w:rsid w:val="00731F6E"/>
    <w:rsid w:val="00734A33"/>
    <w:rsid w:val="007368FA"/>
    <w:rsid w:val="00736EFA"/>
    <w:rsid w:val="0075471D"/>
    <w:rsid w:val="00757C60"/>
    <w:rsid w:val="007624AD"/>
    <w:rsid w:val="0077111C"/>
    <w:rsid w:val="00787F23"/>
    <w:rsid w:val="00795526"/>
    <w:rsid w:val="007A412C"/>
    <w:rsid w:val="007B1FF1"/>
    <w:rsid w:val="007C28A0"/>
    <w:rsid w:val="007C6018"/>
    <w:rsid w:val="007C6D8C"/>
    <w:rsid w:val="007D167D"/>
    <w:rsid w:val="007D538E"/>
    <w:rsid w:val="007E01C3"/>
    <w:rsid w:val="007E56F3"/>
    <w:rsid w:val="007F131D"/>
    <w:rsid w:val="007F41D5"/>
    <w:rsid w:val="008049A0"/>
    <w:rsid w:val="0080536D"/>
    <w:rsid w:val="0080621C"/>
    <w:rsid w:val="00812307"/>
    <w:rsid w:val="00812D1F"/>
    <w:rsid w:val="00814F70"/>
    <w:rsid w:val="008155C1"/>
    <w:rsid w:val="0081623A"/>
    <w:rsid w:val="00826E93"/>
    <w:rsid w:val="00841107"/>
    <w:rsid w:val="0084440F"/>
    <w:rsid w:val="0084667F"/>
    <w:rsid w:val="0084742B"/>
    <w:rsid w:val="00847567"/>
    <w:rsid w:val="00850600"/>
    <w:rsid w:val="00855602"/>
    <w:rsid w:val="00873E56"/>
    <w:rsid w:val="00874A7F"/>
    <w:rsid w:val="00876FD8"/>
    <w:rsid w:val="008815F5"/>
    <w:rsid w:val="008818DB"/>
    <w:rsid w:val="00882289"/>
    <w:rsid w:val="00882A70"/>
    <w:rsid w:val="0088372B"/>
    <w:rsid w:val="008863B8"/>
    <w:rsid w:val="00886838"/>
    <w:rsid w:val="008901FA"/>
    <w:rsid w:val="0089171B"/>
    <w:rsid w:val="00892F09"/>
    <w:rsid w:val="00895916"/>
    <w:rsid w:val="008B25EF"/>
    <w:rsid w:val="008C3837"/>
    <w:rsid w:val="008F3A07"/>
    <w:rsid w:val="008F73A0"/>
    <w:rsid w:val="00905664"/>
    <w:rsid w:val="009060F6"/>
    <w:rsid w:val="0090639D"/>
    <w:rsid w:val="0091576A"/>
    <w:rsid w:val="009164E2"/>
    <w:rsid w:val="00931B06"/>
    <w:rsid w:val="00944293"/>
    <w:rsid w:val="00955FD1"/>
    <w:rsid w:val="00957430"/>
    <w:rsid w:val="00961074"/>
    <w:rsid w:val="00963AB8"/>
    <w:rsid w:val="0096424D"/>
    <w:rsid w:val="0096642F"/>
    <w:rsid w:val="0097251E"/>
    <w:rsid w:val="00972663"/>
    <w:rsid w:val="009760CF"/>
    <w:rsid w:val="00997127"/>
    <w:rsid w:val="0099792F"/>
    <w:rsid w:val="009A018C"/>
    <w:rsid w:val="009A20CA"/>
    <w:rsid w:val="009A2FED"/>
    <w:rsid w:val="009A56D3"/>
    <w:rsid w:val="009A7381"/>
    <w:rsid w:val="009A74DB"/>
    <w:rsid w:val="009B0D5E"/>
    <w:rsid w:val="009C0BAF"/>
    <w:rsid w:val="009C3226"/>
    <w:rsid w:val="009D24E1"/>
    <w:rsid w:val="00A07794"/>
    <w:rsid w:val="00A10774"/>
    <w:rsid w:val="00A126CA"/>
    <w:rsid w:val="00A25F47"/>
    <w:rsid w:val="00A3273E"/>
    <w:rsid w:val="00A33037"/>
    <w:rsid w:val="00A41CF4"/>
    <w:rsid w:val="00A453DB"/>
    <w:rsid w:val="00A45F08"/>
    <w:rsid w:val="00A5523D"/>
    <w:rsid w:val="00A5666C"/>
    <w:rsid w:val="00A576E8"/>
    <w:rsid w:val="00A822C7"/>
    <w:rsid w:val="00A827A4"/>
    <w:rsid w:val="00A90968"/>
    <w:rsid w:val="00A916C0"/>
    <w:rsid w:val="00A91E4A"/>
    <w:rsid w:val="00A94B03"/>
    <w:rsid w:val="00AA528C"/>
    <w:rsid w:val="00AA7155"/>
    <w:rsid w:val="00AB103A"/>
    <w:rsid w:val="00AB4D04"/>
    <w:rsid w:val="00AB7858"/>
    <w:rsid w:val="00AB7C16"/>
    <w:rsid w:val="00AC69E6"/>
    <w:rsid w:val="00AD363A"/>
    <w:rsid w:val="00AE04C9"/>
    <w:rsid w:val="00AE211F"/>
    <w:rsid w:val="00AE2406"/>
    <w:rsid w:val="00AF25B6"/>
    <w:rsid w:val="00AF32CA"/>
    <w:rsid w:val="00AF7986"/>
    <w:rsid w:val="00B01621"/>
    <w:rsid w:val="00B0233E"/>
    <w:rsid w:val="00B11F16"/>
    <w:rsid w:val="00B15549"/>
    <w:rsid w:val="00B22540"/>
    <w:rsid w:val="00B25384"/>
    <w:rsid w:val="00B336CC"/>
    <w:rsid w:val="00B36FFF"/>
    <w:rsid w:val="00B4169C"/>
    <w:rsid w:val="00B512D7"/>
    <w:rsid w:val="00B52B7E"/>
    <w:rsid w:val="00B6251F"/>
    <w:rsid w:val="00B64488"/>
    <w:rsid w:val="00B64F49"/>
    <w:rsid w:val="00B65C2E"/>
    <w:rsid w:val="00B702BE"/>
    <w:rsid w:val="00B7657D"/>
    <w:rsid w:val="00B769C5"/>
    <w:rsid w:val="00B81FA5"/>
    <w:rsid w:val="00B96B0D"/>
    <w:rsid w:val="00BA08FC"/>
    <w:rsid w:val="00BA3C1D"/>
    <w:rsid w:val="00BB4B93"/>
    <w:rsid w:val="00BC4133"/>
    <w:rsid w:val="00BC5BD6"/>
    <w:rsid w:val="00BC7CA1"/>
    <w:rsid w:val="00BD2964"/>
    <w:rsid w:val="00BD4C7B"/>
    <w:rsid w:val="00BD67A1"/>
    <w:rsid w:val="00BE11E7"/>
    <w:rsid w:val="00BE3CCD"/>
    <w:rsid w:val="00BE43A1"/>
    <w:rsid w:val="00BE6C48"/>
    <w:rsid w:val="00BF32FB"/>
    <w:rsid w:val="00BF33A9"/>
    <w:rsid w:val="00BF724D"/>
    <w:rsid w:val="00C03A64"/>
    <w:rsid w:val="00C06307"/>
    <w:rsid w:val="00C06D55"/>
    <w:rsid w:val="00C113B3"/>
    <w:rsid w:val="00C1664D"/>
    <w:rsid w:val="00C22E23"/>
    <w:rsid w:val="00C23966"/>
    <w:rsid w:val="00C27B58"/>
    <w:rsid w:val="00C359B8"/>
    <w:rsid w:val="00C41DE7"/>
    <w:rsid w:val="00C44A19"/>
    <w:rsid w:val="00C46A2C"/>
    <w:rsid w:val="00C55948"/>
    <w:rsid w:val="00C6410B"/>
    <w:rsid w:val="00C72B02"/>
    <w:rsid w:val="00C81ACC"/>
    <w:rsid w:val="00C84C13"/>
    <w:rsid w:val="00C85F53"/>
    <w:rsid w:val="00C91A87"/>
    <w:rsid w:val="00CA017D"/>
    <w:rsid w:val="00CA5937"/>
    <w:rsid w:val="00CB5752"/>
    <w:rsid w:val="00CB7BBA"/>
    <w:rsid w:val="00CC1A15"/>
    <w:rsid w:val="00CD084C"/>
    <w:rsid w:val="00CD3778"/>
    <w:rsid w:val="00CD6432"/>
    <w:rsid w:val="00CD7338"/>
    <w:rsid w:val="00CE0739"/>
    <w:rsid w:val="00CE08FB"/>
    <w:rsid w:val="00CE65AC"/>
    <w:rsid w:val="00CE7035"/>
    <w:rsid w:val="00CF72E6"/>
    <w:rsid w:val="00CF764B"/>
    <w:rsid w:val="00D04366"/>
    <w:rsid w:val="00D11755"/>
    <w:rsid w:val="00D26C51"/>
    <w:rsid w:val="00D319FF"/>
    <w:rsid w:val="00D358A0"/>
    <w:rsid w:val="00D428DE"/>
    <w:rsid w:val="00D42E8C"/>
    <w:rsid w:val="00D43D38"/>
    <w:rsid w:val="00D508FD"/>
    <w:rsid w:val="00D5291A"/>
    <w:rsid w:val="00D53457"/>
    <w:rsid w:val="00D55813"/>
    <w:rsid w:val="00D55B63"/>
    <w:rsid w:val="00D764B5"/>
    <w:rsid w:val="00D764E6"/>
    <w:rsid w:val="00D803CC"/>
    <w:rsid w:val="00D93447"/>
    <w:rsid w:val="00D95941"/>
    <w:rsid w:val="00DA0C2F"/>
    <w:rsid w:val="00DA14D1"/>
    <w:rsid w:val="00DB0A0D"/>
    <w:rsid w:val="00DB7664"/>
    <w:rsid w:val="00DC2C65"/>
    <w:rsid w:val="00DC3272"/>
    <w:rsid w:val="00DC3BC5"/>
    <w:rsid w:val="00DC4C66"/>
    <w:rsid w:val="00DD2025"/>
    <w:rsid w:val="00DD31ED"/>
    <w:rsid w:val="00DE1AB0"/>
    <w:rsid w:val="00DE4943"/>
    <w:rsid w:val="00DE6784"/>
    <w:rsid w:val="00DF13C3"/>
    <w:rsid w:val="00DF6EF3"/>
    <w:rsid w:val="00E06188"/>
    <w:rsid w:val="00E10A1E"/>
    <w:rsid w:val="00E16B28"/>
    <w:rsid w:val="00E25929"/>
    <w:rsid w:val="00E33FD7"/>
    <w:rsid w:val="00E35CB8"/>
    <w:rsid w:val="00E36A17"/>
    <w:rsid w:val="00E41C11"/>
    <w:rsid w:val="00E42CD7"/>
    <w:rsid w:val="00E45CB3"/>
    <w:rsid w:val="00E4725C"/>
    <w:rsid w:val="00E50BB8"/>
    <w:rsid w:val="00E57D98"/>
    <w:rsid w:val="00E60F1C"/>
    <w:rsid w:val="00E617F5"/>
    <w:rsid w:val="00E663E6"/>
    <w:rsid w:val="00E6785B"/>
    <w:rsid w:val="00E811F1"/>
    <w:rsid w:val="00E827F5"/>
    <w:rsid w:val="00E951AD"/>
    <w:rsid w:val="00EA34DE"/>
    <w:rsid w:val="00EA7B17"/>
    <w:rsid w:val="00ED1543"/>
    <w:rsid w:val="00ED4B40"/>
    <w:rsid w:val="00ED586B"/>
    <w:rsid w:val="00EE441C"/>
    <w:rsid w:val="00EF26F3"/>
    <w:rsid w:val="00EF3D43"/>
    <w:rsid w:val="00F049CE"/>
    <w:rsid w:val="00F12030"/>
    <w:rsid w:val="00F16387"/>
    <w:rsid w:val="00F24A83"/>
    <w:rsid w:val="00F2698A"/>
    <w:rsid w:val="00F417F1"/>
    <w:rsid w:val="00F43DBF"/>
    <w:rsid w:val="00F459A7"/>
    <w:rsid w:val="00F46B84"/>
    <w:rsid w:val="00F54762"/>
    <w:rsid w:val="00F56A11"/>
    <w:rsid w:val="00F60DAF"/>
    <w:rsid w:val="00F63194"/>
    <w:rsid w:val="00F63FCF"/>
    <w:rsid w:val="00F67A73"/>
    <w:rsid w:val="00F70F9C"/>
    <w:rsid w:val="00F818D6"/>
    <w:rsid w:val="00F91C72"/>
    <w:rsid w:val="00F9229F"/>
    <w:rsid w:val="00F94FD7"/>
    <w:rsid w:val="00F9767F"/>
    <w:rsid w:val="00FA4F5C"/>
    <w:rsid w:val="00FB0C50"/>
    <w:rsid w:val="00FC228D"/>
    <w:rsid w:val="00FD252A"/>
    <w:rsid w:val="00FD78B4"/>
    <w:rsid w:val="00FE739F"/>
    <w:rsid w:val="00FE7D03"/>
    <w:rsid w:val="00FF412B"/>
    <w:rsid w:val="018A6381"/>
    <w:rsid w:val="01A30CA6"/>
    <w:rsid w:val="01F61121"/>
    <w:rsid w:val="01FD1236"/>
    <w:rsid w:val="024F12FE"/>
    <w:rsid w:val="074439C8"/>
    <w:rsid w:val="08313BA4"/>
    <w:rsid w:val="09134173"/>
    <w:rsid w:val="0CDE4668"/>
    <w:rsid w:val="0CE61018"/>
    <w:rsid w:val="0D700D5F"/>
    <w:rsid w:val="0DE44C68"/>
    <w:rsid w:val="0E033729"/>
    <w:rsid w:val="0EA01593"/>
    <w:rsid w:val="0F342C25"/>
    <w:rsid w:val="0F3C1EB4"/>
    <w:rsid w:val="0FEC13FA"/>
    <w:rsid w:val="11497474"/>
    <w:rsid w:val="11804DAB"/>
    <w:rsid w:val="13686657"/>
    <w:rsid w:val="14915B9D"/>
    <w:rsid w:val="14A443BC"/>
    <w:rsid w:val="182F0174"/>
    <w:rsid w:val="187E5FEC"/>
    <w:rsid w:val="18851DD9"/>
    <w:rsid w:val="18C5372C"/>
    <w:rsid w:val="1A7F1B78"/>
    <w:rsid w:val="1B281149"/>
    <w:rsid w:val="1B766E81"/>
    <w:rsid w:val="1B87224B"/>
    <w:rsid w:val="1BB11AF5"/>
    <w:rsid w:val="1C716FE3"/>
    <w:rsid w:val="1D6A471D"/>
    <w:rsid w:val="1EB274F9"/>
    <w:rsid w:val="1F4B68CC"/>
    <w:rsid w:val="20340B62"/>
    <w:rsid w:val="21986266"/>
    <w:rsid w:val="22803E07"/>
    <w:rsid w:val="231C4773"/>
    <w:rsid w:val="23946814"/>
    <w:rsid w:val="2463755B"/>
    <w:rsid w:val="25C81C55"/>
    <w:rsid w:val="26D73716"/>
    <w:rsid w:val="277C00F3"/>
    <w:rsid w:val="2A8703DF"/>
    <w:rsid w:val="2ACD6E5A"/>
    <w:rsid w:val="2ACF4C27"/>
    <w:rsid w:val="2BD12855"/>
    <w:rsid w:val="2C197BFF"/>
    <w:rsid w:val="2C565711"/>
    <w:rsid w:val="2C892158"/>
    <w:rsid w:val="2CFC5D5A"/>
    <w:rsid w:val="2EBE0643"/>
    <w:rsid w:val="2EF52125"/>
    <w:rsid w:val="2F636810"/>
    <w:rsid w:val="328D12A4"/>
    <w:rsid w:val="37023232"/>
    <w:rsid w:val="37781BA5"/>
    <w:rsid w:val="381F0131"/>
    <w:rsid w:val="390025E6"/>
    <w:rsid w:val="391579FB"/>
    <w:rsid w:val="39AB6A48"/>
    <w:rsid w:val="39DB5F83"/>
    <w:rsid w:val="3A6F6283"/>
    <w:rsid w:val="3AE823CE"/>
    <w:rsid w:val="3B551709"/>
    <w:rsid w:val="3BD21F70"/>
    <w:rsid w:val="3C3D3176"/>
    <w:rsid w:val="3D7E79F1"/>
    <w:rsid w:val="3DCB03A7"/>
    <w:rsid w:val="3E3100AD"/>
    <w:rsid w:val="3E447408"/>
    <w:rsid w:val="4094677F"/>
    <w:rsid w:val="42F4560B"/>
    <w:rsid w:val="437D26DC"/>
    <w:rsid w:val="45B47DEE"/>
    <w:rsid w:val="45D251D8"/>
    <w:rsid w:val="45F8448C"/>
    <w:rsid w:val="46224AC9"/>
    <w:rsid w:val="46DA091D"/>
    <w:rsid w:val="473014C4"/>
    <w:rsid w:val="474F38BC"/>
    <w:rsid w:val="47842E74"/>
    <w:rsid w:val="47AE6F47"/>
    <w:rsid w:val="486929ED"/>
    <w:rsid w:val="49F42A9C"/>
    <w:rsid w:val="4AA63258"/>
    <w:rsid w:val="4B7A2A12"/>
    <w:rsid w:val="4C88763C"/>
    <w:rsid w:val="4D0E689A"/>
    <w:rsid w:val="4EFB6F56"/>
    <w:rsid w:val="51675575"/>
    <w:rsid w:val="53464968"/>
    <w:rsid w:val="54F55E12"/>
    <w:rsid w:val="54FA12B7"/>
    <w:rsid w:val="55492752"/>
    <w:rsid w:val="561B14EA"/>
    <w:rsid w:val="58705404"/>
    <w:rsid w:val="59D17B27"/>
    <w:rsid w:val="5BB206AB"/>
    <w:rsid w:val="5C994203"/>
    <w:rsid w:val="5DEE1399"/>
    <w:rsid w:val="602A3154"/>
    <w:rsid w:val="606B349E"/>
    <w:rsid w:val="61994561"/>
    <w:rsid w:val="621E412A"/>
    <w:rsid w:val="62771E80"/>
    <w:rsid w:val="62B2513E"/>
    <w:rsid w:val="62F331E2"/>
    <w:rsid w:val="64D577B1"/>
    <w:rsid w:val="657B13F8"/>
    <w:rsid w:val="65972B56"/>
    <w:rsid w:val="662F5CA4"/>
    <w:rsid w:val="66692AC0"/>
    <w:rsid w:val="66E45853"/>
    <w:rsid w:val="675E40E0"/>
    <w:rsid w:val="677B1BBD"/>
    <w:rsid w:val="677D7010"/>
    <w:rsid w:val="69D308BF"/>
    <w:rsid w:val="69E106C4"/>
    <w:rsid w:val="6A6D6F89"/>
    <w:rsid w:val="6AA642EE"/>
    <w:rsid w:val="6E424E76"/>
    <w:rsid w:val="6ECD24F2"/>
    <w:rsid w:val="6FC91F0C"/>
    <w:rsid w:val="70754723"/>
    <w:rsid w:val="70B145D0"/>
    <w:rsid w:val="71FA64F2"/>
    <w:rsid w:val="725B79F5"/>
    <w:rsid w:val="72BA3E75"/>
    <w:rsid w:val="74807ECA"/>
    <w:rsid w:val="79D030E6"/>
    <w:rsid w:val="7AE71ED8"/>
    <w:rsid w:val="7B0363E5"/>
    <w:rsid w:val="7BE57490"/>
    <w:rsid w:val="7C222D79"/>
    <w:rsid w:val="7D2D0A25"/>
    <w:rsid w:val="7ED14D22"/>
    <w:rsid w:val="7F8D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line="560" w:lineRule="exact"/>
      <w:jc w:val="center"/>
      <w:outlineLvl w:val="0"/>
    </w:pPr>
    <w:rPr>
      <w:rFonts w:eastAsia="黑体"/>
      <w:b/>
      <w:bCs/>
      <w:kern w:val="44"/>
      <w:sz w:val="32"/>
      <w:szCs w:val="44"/>
    </w:rPr>
  </w:style>
  <w:style w:type="paragraph" w:styleId="3">
    <w:name w:val="heading 2"/>
    <w:basedOn w:val="1"/>
    <w:next w:val="1"/>
    <w:link w:val="18"/>
    <w:unhideWhenUsed/>
    <w:qFormat/>
    <w:uiPriority w:val="9"/>
    <w:pPr>
      <w:keepNext/>
      <w:keepLines/>
      <w:spacing w:line="560" w:lineRule="exact"/>
      <w:ind w:firstLine="200" w:firstLineChars="200"/>
      <w:outlineLvl w:val="1"/>
    </w:pPr>
    <w:rPr>
      <w:rFonts w:eastAsia="仿宋" w:asciiTheme="majorHAnsi" w:hAnsiTheme="majorHAnsi" w:cstheme="majorBidi"/>
      <w:b/>
      <w:bCs/>
      <w:sz w:val="32"/>
      <w:szCs w:val="32"/>
    </w:rPr>
  </w:style>
  <w:style w:type="paragraph" w:styleId="4">
    <w:name w:val="heading 3"/>
    <w:basedOn w:val="1"/>
    <w:next w:val="1"/>
    <w:link w:val="19"/>
    <w:unhideWhenUsed/>
    <w:qFormat/>
    <w:uiPriority w:val="9"/>
    <w:pPr>
      <w:keepNext/>
      <w:keepLines/>
      <w:spacing w:line="560" w:lineRule="exact"/>
      <w:ind w:firstLine="200" w:firstLineChars="200"/>
      <w:outlineLvl w:val="2"/>
    </w:pPr>
    <w:rPr>
      <w:rFonts w:eastAsia="仿宋"/>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400" w:lineRule="exact"/>
    </w:pPr>
  </w:style>
  <w:style w:type="paragraph" w:styleId="10">
    <w:name w:val="toc 2"/>
    <w:basedOn w:val="1"/>
    <w:next w:val="1"/>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1 Char"/>
    <w:basedOn w:val="13"/>
    <w:link w:val="2"/>
    <w:qFormat/>
    <w:uiPriority w:val="9"/>
    <w:rPr>
      <w:rFonts w:eastAsia="黑体"/>
      <w:b/>
      <w:bCs/>
      <w:kern w:val="44"/>
      <w:sz w:val="32"/>
      <w:szCs w:val="44"/>
    </w:rPr>
  </w:style>
  <w:style w:type="character" w:customStyle="1" w:styleId="18">
    <w:name w:val="标题 2 Char"/>
    <w:basedOn w:val="13"/>
    <w:link w:val="3"/>
    <w:qFormat/>
    <w:uiPriority w:val="9"/>
    <w:rPr>
      <w:rFonts w:eastAsia="仿宋" w:asciiTheme="majorHAnsi" w:hAnsiTheme="majorHAnsi" w:cstheme="majorBidi"/>
      <w:b/>
      <w:bCs/>
      <w:sz w:val="32"/>
      <w:szCs w:val="32"/>
    </w:rPr>
  </w:style>
  <w:style w:type="character" w:customStyle="1" w:styleId="19">
    <w:name w:val="标题 3 Char"/>
    <w:basedOn w:val="13"/>
    <w:link w:val="4"/>
    <w:qFormat/>
    <w:uiPriority w:val="9"/>
    <w:rPr>
      <w:rFonts w:eastAsia="仿宋"/>
      <w:bCs/>
      <w:sz w:val="32"/>
      <w:szCs w:val="32"/>
    </w:rPr>
  </w:style>
  <w:style w:type="character" w:customStyle="1" w:styleId="20">
    <w:name w:val="批注框文本 Char"/>
    <w:basedOn w:val="13"/>
    <w:link w:val="6"/>
    <w:semiHidden/>
    <w:qFormat/>
    <w:uiPriority w:val="99"/>
    <w:rPr>
      <w:sz w:val="18"/>
      <w:szCs w:val="18"/>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default" w:ascii="Times New Roman" w:hAnsi="Times New Roman" w:cs="Times New Roman"/>
      <w:color w:val="000000"/>
      <w:sz w:val="24"/>
      <w:szCs w:val="24"/>
      <w:u w:val="none"/>
    </w:rPr>
  </w:style>
  <w:style w:type="character" w:customStyle="1" w:styleId="23">
    <w:name w:val="font6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43144-A659-495C-AB10-C38AD38AE2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2684</Words>
  <Characters>15299</Characters>
  <Lines>127</Lines>
  <Paragraphs>35</Paragraphs>
  <TotalTime>27</TotalTime>
  <ScaleCrop>false</ScaleCrop>
  <LinksUpToDate>false</LinksUpToDate>
  <CharactersWithSpaces>17948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2019-02-12T01:25:00Z</dcterms:created>
  <dc:creator>焦蕊</dc:creator>
  <cp:lastModifiedBy>陌上花开</cp:lastModifiedBy>
  <cp:lastPrinted>2019-02-13T07:36:00Z</cp:lastPrinted>
  <dcterms:modified xsi:type="dcterms:W3CDTF">2021-02-09T02:50:07Z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