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ind w:firstLineChars="100" w:firstLine="440"/>
        <w:rPr>
          <w:rFonts w:ascii="宋体"/>
          <w:b/>
          <w:color w:val="000000"/>
          <w:sz w:val="44"/>
          <w:szCs w:val="44"/>
        </w:rPr>
      </w:pPr>
      <w:r>
        <w:rPr>
          <w:rFonts w:ascii="宋体" w:hint="eastAsia"/>
          <w:color w:val="000000"/>
          <w:sz w:val="44"/>
          <w:szCs w:val="44"/>
        </w:rPr>
        <w:t xml:space="preserve">   </w:t>
      </w:r>
      <w:r>
        <w:rPr>
          <w:rFonts w:ascii="宋体" w:hint="eastAsia"/>
          <w:b/>
          <w:color w:val="000000"/>
          <w:sz w:val="44"/>
          <w:szCs w:val="44"/>
        </w:rPr>
        <w:t>西城区园林绿化局2021年</w:t>
      </w:r>
      <w:r>
        <w:rPr>
          <w:rFonts w:ascii="宋体"/>
          <w:b/>
          <w:color w:val="000000"/>
          <w:sz w:val="44"/>
          <w:szCs w:val="44"/>
        </w:rPr>
        <w:t>部门预算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公开目录</w:t>
      </w: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第一部分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ascii="黑体" w:eastAsia="黑体" w:hint="eastAsia"/>
          <w:color w:val="000000"/>
          <w:sz w:val="32"/>
          <w:szCs w:val="32"/>
        </w:rPr>
        <w:t>2021年</w:t>
      </w:r>
      <w:r>
        <w:rPr>
          <w:rFonts w:ascii="黑体" w:eastAsia="黑体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一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部门主要职责及机构设置</w:t>
      </w:r>
      <w:r>
        <w:rPr>
          <w:rFonts w:ascii="仿宋_GB2312" w:eastAsia="仿宋_GB2312"/>
          <w:b/>
          <w:color w:val="000000"/>
          <w:sz w:val="32"/>
          <w:szCs w:val="32"/>
        </w:rPr>
        <w:t>情况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Chars="250" w:firstLine="8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二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2021年部门预算收支及增减变化情况说明</w:t>
      </w:r>
    </w:p>
    <w:p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（一）收入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（二）支出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三、主要支出情况</w:t>
      </w:r>
    </w:p>
    <w:p>
      <w:pPr>
        <w:spacing w:line="560" w:lineRule="exact"/>
        <w:ind w:firstLineChars="250" w:firstLine="8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四、</w:t>
      </w:r>
      <w:r>
        <w:rPr>
          <w:rFonts w:ascii="仿宋_GB2312" w:eastAsia="仿宋_GB2312"/>
          <w:b/>
          <w:color w:val="000000"/>
          <w:sz w:val="32"/>
          <w:szCs w:val="32"/>
        </w:rPr>
        <w:t>部门“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三公</w:t>
      </w:r>
      <w:r>
        <w:rPr>
          <w:rFonts w:ascii="仿宋_GB2312" w:eastAsia="仿宋_GB2312"/>
          <w:b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经费</w:t>
      </w:r>
      <w:r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（四）绩效目标情况及绩效评价结果说明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Chars="300" w:firstLine="96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六</w:t>
      </w:r>
      <w:r>
        <w:rPr>
          <w:rFonts w:ascii="仿宋_GB2312" w:eastAsia="仿宋_GB2312"/>
          <w:b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解释</w:t>
      </w: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第二部分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ascii="黑体" w:eastAsia="黑体" w:hint="eastAsia"/>
          <w:color w:val="000000"/>
          <w:sz w:val="32"/>
          <w:szCs w:val="32"/>
        </w:rPr>
        <w:t>2021年</w:t>
      </w:r>
      <w:r>
        <w:rPr>
          <w:rFonts w:ascii="黑体" w:eastAsia="黑体"/>
          <w:color w:val="000000"/>
          <w:sz w:val="32"/>
          <w:szCs w:val="32"/>
        </w:rPr>
        <w:t>部门</w:t>
      </w:r>
      <w:r>
        <w:rPr>
          <w:rFonts w:ascii="黑体" w:eastAsia="黑体" w:hint="eastAsia"/>
          <w:color w:val="000000"/>
          <w:sz w:val="32"/>
          <w:szCs w:val="32"/>
        </w:rPr>
        <w:t>预</w:t>
      </w:r>
      <w:r>
        <w:rPr>
          <w:rFonts w:ascii="黑体" w:eastAsia="黑体"/>
          <w:color w:val="000000"/>
          <w:sz w:val="32"/>
          <w:szCs w:val="32"/>
        </w:rPr>
        <w:t>算</w:t>
      </w:r>
      <w:r>
        <w:rPr>
          <w:rFonts w:ascii="黑体" w:eastAsia="黑体" w:hint="eastAsia"/>
          <w:color w:val="000000"/>
          <w:sz w:val="32"/>
          <w:szCs w:val="32"/>
        </w:rPr>
        <w:t>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表一、部门收支总体情况表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表二、部门收入总体情况表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表三、部门支出总体情况表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表四、财政拨款收支总体情况表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表五、一般公共预算支出情况表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表六、一般公共预算基本支出情况表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表七、一般公共预算“三公”经费支出情况表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表八、政府性基金预算支出情况表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表九、部门预算明细表</w:t>
      </w:r>
    </w:p>
    <w:p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表十、专项转移支付预算表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表十一、部门整体支出绩效目标申报表</w:t>
      </w:r>
    </w:p>
    <w:p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表十二、项目支出绩效目标申报表</w:t>
      </w: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</w:t>
      </w: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Chars="100" w:firstLine="320"/>
        <w:rPr>
          <w:rFonts w:ascii="楷体" w:eastAsia="楷体"/>
          <w:b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楷体" w:eastAsia="楷体" w:hint="eastAsia"/>
          <w:b/>
          <w:color w:val="000000"/>
          <w:sz w:val="36"/>
          <w:szCs w:val="36"/>
        </w:rPr>
        <w:t>第一部分</w:t>
      </w:r>
      <w:r>
        <w:rPr>
          <w:rFonts w:ascii="楷体" w:eastAsia="楷体"/>
          <w:b/>
          <w:color w:val="000000"/>
          <w:sz w:val="36"/>
          <w:szCs w:val="36"/>
        </w:rPr>
        <w:t>、</w:t>
      </w:r>
      <w:r>
        <w:rPr>
          <w:rFonts w:ascii="楷体" w:eastAsia="楷体" w:hint="eastAsia"/>
          <w:b/>
          <w:color w:val="000000"/>
          <w:sz w:val="36"/>
          <w:szCs w:val="36"/>
        </w:rPr>
        <w:t>2021年</w:t>
      </w:r>
      <w:r>
        <w:rPr>
          <w:rFonts w:ascii="楷体" w:eastAsia="楷体"/>
          <w:b/>
          <w:color w:val="000000"/>
          <w:sz w:val="36"/>
          <w:szCs w:val="36"/>
        </w:rPr>
        <w:t>部门预算情况说明</w:t>
      </w:r>
    </w:p>
    <w:p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360" w:lineRule="auto"/>
        <w:ind w:firstLineChars="223" w:firstLine="714"/>
        <w:rPr>
          <w:rFonts w:ascii="楷体" w:eastAsia="仿宋" w:hAnsi="楷体"/>
          <w:sz w:val="32"/>
          <w:szCs w:val="32"/>
        </w:rPr>
      </w:pPr>
      <w:r>
        <w:rPr>
          <w:rFonts w:ascii="楷体" w:eastAsia="仿宋" w:hAnsi="楷体" w:hint="eastAsia"/>
          <w:sz w:val="32"/>
          <w:szCs w:val="32"/>
        </w:rPr>
        <w:t>区园林绿化局（区绿化办）是负责本区园林绿化工作的区政府工作部门，内设6个科室。</w:t>
      </w:r>
    </w:p>
    <w:p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>
        <w:rPr>
          <w:rFonts w:ascii="楷体" w:eastAsia="仿宋" w:hAnsi="楷体" w:hint="eastAsia"/>
          <w:sz w:val="32"/>
          <w:szCs w:val="32"/>
        </w:rPr>
        <w:t>主要职责</w:t>
      </w:r>
    </w:p>
    <w:p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>
        <w:rPr>
          <w:rFonts w:ascii="楷体" w:eastAsia="仿宋" w:hAnsi="楷体" w:hint="eastAsia"/>
          <w:sz w:val="32"/>
          <w:szCs w:val="32"/>
        </w:rPr>
        <w:t>（一）贯彻落实国家关于园林绿化工作的法律、法规、规章、政策和北京市的相关规定，制定本区园林绿化发展中长期规划和年度计划，</w:t>
      </w:r>
      <w:r>
        <w:rPr>
          <w:rFonts w:ascii="楷体" w:eastAsia="仿宋" w:hAnsi="楷体" w:hint="eastAsia"/>
          <w:color w:val="000000"/>
          <w:sz w:val="32"/>
          <w:szCs w:val="32"/>
        </w:rPr>
        <w:t>会同有关部门编制城市园林专业规划和绿地系统详细规划，并组织实施。</w:t>
      </w:r>
    </w:p>
    <w:p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>
        <w:rPr>
          <w:rFonts w:ascii="楷体" w:eastAsia="仿宋" w:hAnsi="楷体" w:hint="eastAsia"/>
          <w:color w:val="000000"/>
          <w:sz w:val="32"/>
          <w:szCs w:val="32"/>
        </w:rPr>
        <w:t>（二）组织、指导和监督本区城市绿化美化养护管理工作；负责园林绿化重点工程的监督检查工作；组织、协调重大活动的绿化美化及环境布置工作。</w:t>
      </w:r>
    </w:p>
    <w:p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>
        <w:rPr>
          <w:rFonts w:ascii="楷体" w:eastAsia="仿宋" w:hAnsi="楷体" w:hint="eastAsia"/>
          <w:sz w:val="32"/>
          <w:szCs w:val="32"/>
        </w:rPr>
        <w:t>（三）承担管理和保护本区绿地和林木资源的责任；负责林木资源的调查评估、动态监测、统计分析等工作。</w:t>
      </w:r>
    </w:p>
    <w:p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>
        <w:rPr>
          <w:rFonts w:ascii="楷体" w:eastAsia="仿宋" w:hAnsi="楷体" w:hint="eastAsia"/>
          <w:color w:val="000000"/>
          <w:sz w:val="32"/>
          <w:szCs w:val="32"/>
        </w:rPr>
        <w:t>（四）组织落实园林绿化的地方标准和规范</w:t>
      </w:r>
      <w:r>
        <w:rPr>
          <w:rFonts w:ascii="楷体" w:eastAsia="仿宋" w:hAnsi="楷体" w:hint="eastAsia"/>
          <w:sz w:val="32"/>
          <w:szCs w:val="32"/>
        </w:rPr>
        <w:t>；负责本区园林绿化建设项目的立项和专项资金使用的</w:t>
      </w:r>
      <w:r>
        <w:rPr>
          <w:rFonts w:ascii="楷体" w:eastAsia="仿宋" w:hAnsi="楷体" w:hint="eastAsia"/>
          <w:color w:val="000000"/>
          <w:sz w:val="32"/>
          <w:szCs w:val="32"/>
        </w:rPr>
        <w:t>监督工作；组织、指导园林绿化的节能减排工作。</w:t>
      </w:r>
    </w:p>
    <w:p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>
        <w:rPr>
          <w:rFonts w:ascii="楷体" w:eastAsia="仿宋" w:hAnsi="楷体" w:hint="eastAsia"/>
          <w:color w:val="000000"/>
          <w:sz w:val="32"/>
          <w:szCs w:val="32"/>
        </w:rPr>
        <w:t>（五）承担保护本区野生动植物的责任；依法组织开展生物多样性保护和林木种质资源保护工作，组织、指导林木、绿地有害生物的监测、检疫和防治工作。</w:t>
      </w:r>
    </w:p>
    <w:p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>
        <w:rPr>
          <w:rFonts w:ascii="楷体" w:eastAsia="仿宋" w:hAnsi="楷体" w:hint="eastAsia"/>
          <w:color w:val="000000"/>
          <w:sz w:val="32"/>
          <w:szCs w:val="32"/>
        </w:rPr>
        <w:t>（六）负责本区公园、风景名胜区的行业管理；组织编制本区公园、风景名胜区发展规划，监督、指导公园、风景名胜区的建设和管理；负责公园、风景名胜区资源调查和评估工作。</w:t>
      </w:r>
    </w:p>
    <w:p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>
        <w:rPr>
          <w:rFonts w:ascii="楷体" w:eastAsia="仿宋" w:hAnsi="楷体" w:hint="eastAsia"/>
          <w:color w:val="000000"/>
          <w:sz w:val="32"/>
          <w:szCs w:val="32"/>
        </w:rPr>
        <w:t>（七）拟订本区园林绿化科技发展规划和年度计划，指导相关重大科技项目的研究、开发和推广；负责园林绿化信息化的管理；负责组织、指导、协调林业碳汇工作；负责园林绿化方面的对外交流与合作。</w:t>
      </w:r>
    </w:p>
    <w:p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>
        <w:rPr>
          <w:rFonts w:ascii="楷体" w:eastAsia="仿宋" w:hAnsi="楷体" w:hint="eastAsia"/>
          <w:color w:val="000000"/>
          <w:sz w:val="32"/>
          <w:szCs w:val="32"/>
        </w:rPr>
        <w:t>（八）负责本区园林绿化的普法教育、宣传工作及绿线管理和行政执法工作。</w:t>
      </w:r>
    </w:p>
    <w:p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>
        <w:rPr>
          <w:rFonts w:ascii="楷体" w:eastAsia="仿宋" w:hAnsi="楷体" w:hint="eastAsia"/>
          <w:sz w:val="32"/>
          <w:szCs w:val="32"/>
        </w:rPr>
        <w:t>（九）承担本区绿化委员会的具体工作；负责本区全民义务植树活动的宣传发动、组织协调、监督检查和组织评定工作。</w:t>
      </w:r>
    </w:p>
    <w:p>
      <w:pPr>
        <w:spacing w:line="360" w:lineRule="auto"/>
        <w:ind w:firstLineChars="200" w:firstLine="640"/>
        <w:rPr>
          <w:rFonts w:ascii="楷体" w:eastAsia="仿宋" w:hAnsi="楷体"/>
          <w:color w:val="000000"/>
          <w:sz w:val="32"/>
          <w:szCs w:val="32"/>
        </w:rPr>
      </w:pPr>
      <w:r>
        <w:rPr>
          <w:rFonts w:ascii="楷体" w:eastAsia="仿宋" w:hAnsi="楷体" w:hint="eastAsia"/>
          <w:color w:val="000000"/>
          <w:sz w:val="32"/>
          <w:szCs w:val="32"/>
        </w:rPr>
        <w:t>（十）组织、协调园林应急情况的抢险、救灾和防汛险情处置工作。</w:t>
      </w:r>
    </w:p>
    <w:p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color w:val="000000"/>
          <w:sz w:val="32"/>
          <w:szCs w:val="32"/>
        </w:rPr>
      </w:pPr>
      <w:r>
        <w:rPr>
          <w:rFonts w:ascii="楷体" w:eastAsia="仿宋" w:hAnsi="楷体" w:hint="eastAsia"/>
          <w:color w:val="000000"/>
          <w:sz w:val="32"/>
          <w:szCs w:val="32"/>
        </w:rPr>
        <w:t>（十一）承办区政府和上级业务指导部门交办的其他事项。</w:t>
      </w:r>
    </w:p>
    <w:p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>
        <w:rPr>
          <w:rFonts w:ascii="楷体" w:eastAsia="仿宋" w:hAnsi="楷体" w:hint="eastAsia"/>
          <w:sz w:val="32"/>
          <w:szCs w:val="32"/>
        </w:rPr>
        <w:t>安全监管职责</w:t>
      </w:r>
    </w:p>
    <w:p>
      <w:pPr>
        <w:overflowPunct w:val="0"/>
        <w:adjustRightInd w:val="0"/>
        <w:snapToGrid w:val="0"/>
        <w:spacing w:line="360" w:lineRule="auto"/>
        <w:ind w:firstLineChars="200" w:firstLine="640"/>
        <w:textAlignment w:val="center"/>
        <w:rPr>
          <w:rFonts w:ascii="楷体" w:eastAsia="仿宋" w:hAnsi="楷体"/>
          <w:sz w:val="32"/>
          <w:szCs w:val="32"/>
        </w:rPr>
      </w:pPr>
      <w:r>
        <w:rPr>
          <w:rFonts w:ascii="楷体" w:eastAsia="仿宋" w:hAnsi="楷体" w:hint="eastAsia"/>
          <w:sz w:val="32"/>
          <w:szCs w:val="32"/>
        </w:rPr>
        <w:t>（一）负责区域内园林绿化安全生产工作的行业监督管理，指导区</w:t>
      </w:r>
      <w:r>
        <w:rPr>
          <w:rFonts w:ascii="楷体" w:eastAsia="仿宋" w:hAnsi="楷体" w:hint="eastAsia"/>
          <w:color w:val="000000"/>
          <w:sz w:val="32"/>
          <w:szCs w:val="32"/>
        </w:rPr>
        <w:t>相关部门</w:t>
      </w:r>
      <w:r>
        <w:rPr>
          <w:rFonts w:ascii="楷体" w:eastAsia="仿宋" w:hAnsi="楷体" w:hint="eastAsia"/>
          <w:sz w:val="32"/>
          <w:szCs w:val="32"/>
        </w:rPr>
        <w:t>开展园林绿化养护及施工，以及区属公园、景区的安全生产工作。</w:t>
      </w:r>
    </w:p>
    <w:p>
      <w:pPr>
        <w:spacing w:line="360" w:lineRule="auto"/>
        <w:ind w:firstLineChars="200" w:firstLine="640"/>
        <w:rPr>
          <w:rFonts w:ascii="楷体" w:eastAsia="仿宋" w:hAnsi="楷体"/>
          <w:sz w:val="32"/>
          <w:szCs w:val="32"/>
        </w:rPr>
      </w:pPr>
      <w:r>
        <w:rPr>
          <w:rFonts w:ascii="楷体" w:eastAsia="仿宋" w:hAnsi="楷体" w:hint="eastAsia"/>
          <w:sz w:val="32"/>
          <w:szCs w:val="32"/>
        </w:rPr>
        <w:t>（二）在履行法律法规规定的行政许可职责中，对涉及安全的有关事项严格按照有关规定审查把关，对已批准的行政许可事项和未经批准擅自从事有关活动的，依法承担相应的监管或管理责任，超出职责范围的及时报告区政府或告知有关部门处理。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360" w:lineRule="auto"/>
        <w:ind w:firstLine="556"/>
        <w:rPr>
          <w:rFonts w:ascii="楷体" w:eastAsia="仿宋" w:hAnsi="楷体"/>
          <w:sz w:val="32"/>
          <w:szCs w:val="32"/>
        </w:rPr>
      </w:pPr>
      <w:r>
        <w:rPr>
          <w:rFonts w:ascii="楷体" w:eastAsia="仿宋" w:hAnsi="楷体" w:hint="eastAsia"/>
          <w:sz w:val="32"/>
          <w:szCs w:val="32"/>
        </w:rPr>
        <w:t>西城区园林绿化局实有行政人员31人；退休人员51人。</w:t>
      </w:r>
    </w:p>
    <w:p>
      <w:pPr>
        <w:spacing w:line="360" w:lineRule="auto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2021年部门预算收支及增减变化情况说明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(一)收入预算说明</w:t>
      </w:r>
    </w:p>
    <w:p>
      <w:pPr>
        <w:spacing w:line="360" w:lineRule="auto"/>
        <w:ind w:firstLine="555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2021年西城区园林绿化局部门预算收入1421.24万元比2020年收入1614.38万元减少193.14万元。其中：财政拨款1421.24万元</w:t>
      </w:r>
      <w:r>
        <w:rPr>
          <w:rFonts w:ascii="仿宋" w:eastAsia="仿宋" w:hint="eastAsia"/>
          <w:kern w:val="0"/>
          <w:sz w:val="32"/>
          <w:szCs w:val="32"/>
        </w:rPr>
        <w:t>,减少13.59%，</w:t>
      </w:r>
      <w:r>
        <w:rPr>
          <w:rFonts w:ascii="仿宋" w:eastAsia="仿宋" w:hint="eastAsia"/>
          <w:color w:val="000000"/>
          <w:kern w:val="0"/>
          <w:sz w:val="32"/>
          <w:szCs w:val="32"/>
        </w:rPr>
        <w:t>主要是</w:t>
      </w:r>
      <w:r>
        <w:rPr>
          <w:rFonts w:ascii="仿宋" w:eastAsia="仿宋" w:hint="eastAsia"/>
          <w:color w:val="000000"/>
          <w:sz w:val="32"/>
          <w:szCs w:val="32"/>
        </w:rPr>
        <w:t>工作需要部分项目有所调整</w:t>
      </w:r>
      <w:r>
        <w:rPr>
          <w:rFonts w:ascii="仿宋" w:eastAsia="仿宋" w:hint="eastAsia"/>
          <w:color w:val="000000"/>
          <w:kern w:val="0"/>
          <w:sz w:val="32"/>
          <w:szCs w:val="32"/>
        </w:rPr>
        <w:t>所致</w:t>
      </w:r>
      <w:r>
        <w:rPr>
          <w:rFonts w:ascii="仿宋" w:eastAsia="仿宋" w:hint="eastAsia"/>
          <w:sz w:val="32"/>
          <w:szCs w:val="32"/>
        </w:rPr>
        <w:t>。</w:t>
      </w:r>
    </w:p>
    <w:p>
      <w:pPr>
        <w:spacing w:line="360" w:lineRule="auto"/>
        <w:ind w:firstLine="555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市级转移支付资金800万元，主要用于西城区古树名木的管理工作。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(二)支出预算说明</w:t>
      </w:r>
    </w:p>
    <w:p>
      <w:pPr>
        <w:spacing w:line="360" w:lineRule="auto"/>
        <w:ind w:firstLine="555"/>
        <w:rPr>
          <w:rFonts w:ascii="仿宋" w:eastAsia="仿宋" w:hint="eastAsia"/>
          <w:color w:val="0D1E0F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2021年支出预算按用途划分：（1）基本支出预算1174.87万元，比2020年1170.63万元增加4.24万元，增长0.36%。其中：2021年公用支出90.11万元</w:t>
      </w:r>
      <w:r>
        <w:rPr>
          <w:rFonts w:ascii="仿宋" w:eastAsia="仿宋" w:hint="eastAsia"/>
          <w:color w:val="000000"/>
          <w:sz w:val="32"/>
          <w:szCs w:val="32"/>
        </w:rPr>
        <w:t>，比</w:t>
      </w:r>
      <w:r>
        <w:rPr>
          <w:rFonts w:ascii="仿宋" w:eastAsia="仿宋" w:hint="eastAsia"/>
          <w:sz w:val="32"/>
          <w:szCs w:val="32"/>
        </w:rPr>
        <w:t>2020年</w:t>
      </w:r>
      <w:r>
        <w:rPr>
          <w:rFonts w:ascii="仿宋" w:eastAsia="仿宋" w:cs="宋体" w:hint="eastAsia"/>
          <w:color w:val="000000"/>
          <w:kern w:val="0"/>
          <w:sz w:val="32"/>
          <w:szCs w:val="32"/>
        </w:rPr>
        <w:t>95.56万</w:t>
      </w:r>
      <w:r>
        <w:rPr>
          <w:rFonts w:ascii="仿宋" w:eastAsia="仿宋" w:hint="eastAsia"/>
          <w:sz w:val="32"/>
          <w:szCs w:val="32"/>
        </w:rPr>
        <w:t>元，减少5.45万元，降低5.7%，</w:t>
      </w:r>
      <w:r>
        <w:rPr>
          <w:rFonts w:ascii="仿宋" w:eastAsia="仿宋" w:hint="eastAsia"/>
          <w:color w:val="000000"/>
          <w:sz w:val="32"/>
          <w:szCs w:val="32"/>
        </w:rPr>
        <w:t>主要原因是政策变化和人员减少所致</w:t>
      </w:r>
      <w:r>
        <w:rPr>
          <w:rFonts w:ascii="仿宋" w:eastAsia="仿宋" w:hint="eastAsia"/>
          <w:sz w:val="32"/>
          <w:szCs w:val="32"/>
        </w:rPr>
        <w:t>。</w:t>
      </w:r>
      <w:r>
        <w:rPr>
          <w:rFonts w:ascii="楷体" w:eastAsia="仿宋" w:hAnsi="楷体" w:hint="eastAsia"/>
          <w:sz w:val="32"/>
          <w:szCs w:val="32"/>
        </w:rPr>
        <w:t>（2）项目支出预算246.37万元，</w:t>
      </w:r>
      <w:r>
        <w:rPr>
          <w:rFonts w:ascii="仿宋" w:eastAsia="仿宋" w:hint="eastAsia"/>
          <w:sz w:val="32"/>
          <w:szCs w:val="32"/>
        </w:rPr>
        <w:t>比2020年</w:t>
      </w:r>
      <w:r>
        <w:rPr>
          <w:rFonts w:ascii="楷体" w:eastAsia="仿宋" w:hAnsi="楷体" w:hint="eastAsia"/>
          <w:sz w:val="32"/>
          <w:szCs w:val="32"/>
        </w:rPr>
        <w:t>443.75万</w:t>
      </w:r>
      <w:r>
        <w:rPr>
          <w:rFonts w:ascii="仿宋_GB2312" w:eastAsia="仿宋" w:hAnsi="仿宋_GB2312" w:hint="eastAsia"/>
          <w:sz w:val="32"/>
          <w:szCs w:val="32"/>
        </w:rPr>
        <w:t>元，减少197.38万元，降低44.48%，</w:t>
      </w:r>
      <w:r>
        <w:rPr>
          <w:rFonts w:ascii="楷体" w:eastAsia="仿宋" w:hAnsi="楷体" w:hint="eastAsia"/>
          <w:color w:val="0D1E0F"/>
          <w:sz w:val="32"/>
          <w:szCs w:val="32"/>
        </w:rPr>
        <w:t>主要是工作任务调整,大中型项目减少。2021年主要项目是</w:t>
      </w:r>
      <w:r>
        <w:rPr>
          <w:rFonts w:ascii="仿宋" w:eastAsia="仿宋" w:hint="eastAsia"/>
          <w:color w:val="0D1E0F"/>
          <w:sz w:val="32"/>
          <w:szCs w:val="32"/>
        </w:rPr>
        <w:t>治理杨柳飞絮专项经费48.25万元；危险性林木有害生物防控38.08万元等。</w:t>
      </w:r>
    </w:p>
    <w:p>
      <w:pPr>
        <w:spacing w:line="360" w:lineRule="auto"/>
        <w:ind w:firstLine="555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市级转移支付资金800万元，主要用于西城区古树名木的管理工作。</w:t>
      </w:r>
    </w:p>
    <w:p>
      <w:pPr>
        <w:spacing w:line="360" w:lineRule="auto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napToGrid w:val="0"/>
        <w:spacing w:line="360" w:lineRule="auto"/>
        <w:ind w:left="284" w:firstLineChars="100" w:firstLine="32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（一）基本支出主要包括在职、离退休人员支出、个人和家庭</w:t>
      </w:r>
    </w:p>
    <w:p>
      <w:pPr>
        <w:snapToGrid w:val="0"/>
        <w:spacing w:line="360" w:lineRule="auto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补助支出、公用支出。</w:t>
      </w:r>
    </w:p>
    <w:p>
      <w:pPr>
        <w:snapToGrid w:val="0"/>
        <w:spacing w:line="360" w:lineRule="auto"/>
        <w:ind w:firstLineChars="200" w:firstLine="640"/>
        <w:rPr>
          <w:rFonts w:ascii="仿宋" w:eastAsia="仿宋"/>
          <w:kern w:val="0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（二）项目支出主要包括治理杨柳飞絮专项经费、群植绿化和危险性林木有害生物防控</w:t>
      </w:r>
      <w:r>
        <w:rPr>
          <w:rFonts w:ascii="仿宋" w:eastAsia="仿宋" w:hint="eastAsia"/>
          <w:kern w:val="0"/>
          <w:sz w:val="32"/>
          <w:szCs w:val="32"/>
        </w:rPr>
        <w:t>等。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>
      <w:pPr>
        <w:spacing w:line="360" w:lineRule="auto"/>
        <w:ind w:firstLine="646"/>
        <w:rPr>
          <w:rFonts w:ascii="仿宋_GB2312" w:eastAsia="仿宋" w:hAnsi="仿宋_GB2312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北京市西城区园林绿化局(本级)部门预算中因公出国（境）费、公务接待费、公务用车购置及运行维护费的支出单位包括0个所属单位。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2021年部门预算“三公”经费财政拨款预算安排8427.45元，比2021年财政预算数10601.52元，减少2174.07元。其中：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1、因公出国（境）费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2021年财政拨款预算安排0万元, 与2020年财政预算数持平。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2、公务接待费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2021年财政拨款预算安排8427.45元，比2020年预算安排10601.52元减少2174.07元, 主要原因是计提基数减少所致。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3、公务用车购置及运行维护费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2021年公务用车预算数量为0辆，财政拨款预算安排0元，其中公务用车购置费0万元，公务用车运行维护费0元，与2020年财政预算数持平。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Chars="150" w:firstLine="480"/>
        <w:jc w:val="left"/>
        <w:rPr>
          <w:rFonts w:ascii="仿宋" w:eastAsia="仿宋"/>
          <w:color w:val="000000"/>
          <w:sz w:val="32"/>
          <w:szCs w:val="32"/>
        </w:rPr>
      </w:pPr>
      <w:r>
        <w:rPr>
          <w:rFonts w:ascii="楷体" w:eastAsia="仿宋" w:hAnsi="楷体" w:hint="eastAsia"/>
          <w:sz w:val="32"/>
          <w:szCs w:val="32"/>
        </w:rPr>
        <w:t xml:space="preserve"> 2021年本部门(本级）履行一般行政事业管理职能、维持机关运行，用于一般公共预算安排的行政运行经费，合计90.11万元,                                                                                                                           </w:t>
      </w:r>
      <w:r>
        <w:rPr>
          <w:rFonts w:ascii="仿宋" w:eastAsia="仿宋" w:hint="eastAsia"/>
          <w:sz w:val="32"/>
          <w:szCs w:val="32"/>
        </w:rPr>
        <w:t>比2020年机关运行经费</w:t>
      </w:r>
      <w:r>
        <w:rPr>
          <w:rFonts w:ascii="仿宋" w:eastAsia="仿宋" w:cs="宋体" w:hint="eastAsia"/>
          <w:color w:val="000000"/>
          <w:kern w:val="0"/>
          <w:sz w:val="32"/>
          <w:szCs w:val="32"/>
        </w:rPr>
        <w:t>95.56万</w:t>
      </w:r>
      <w:r>
        <w:rPr>
          <w:rFonts w:ascii="仿宋" w:eastAsia="仿宋" w:hint="eastAsia"/>
          <w:sz w:val="32"/>
          <w:szCs w:val="32"/>
        </w:rPr>
        <w:t>元，减少5.45万元，降低5.7%，</w:t>
      </w:r>
      <w:r>
        <w:rPr>
          <w:rFonts w:ascii="仿宋" w:eastAsia="仿宋" w:hint="eastAsia"/>
          <w:color w:val="000000"/>
          <w:sz w:val="32"/>
          <w:szCs w:val="32"/>
        </w:rPr>
        <w:t>主要原因是政策变化和人员减少所致</w:t>
      </w:r>
    </w:p>
    <w:p>
      <w:pPr>
        <w:spacing w:line="360" w:lineRule="auto"/>
        <w:ind w:firstLineChars="150" w:firstLine="48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360" w:lineRule="auto"/>
        <w:ind w:firstLineChars="150" w:firstLine="480"/>
        <w:rPr>
          <w:rFonts w:ascii="仿宋" w:eastAsia="仿宋"/>
          <w:color w:val="000000"/>
          <w:sz w:val="32"/>
          <w:szCs w:val="32"/>
        </w:rPr>
      </w:pPr>
      <w:r>
        <w:rPr>
          <w:rFonts w:ascii="楷体" w:eastAsia="仿宋" w:hAnsi="楷体" w:hint="eastAsia"/>
          <w:color w:val="FF0000"/>
          <w:sz w:val="32"/>
          <w:szCs w:val="32"/>
        </w:rPr>
        <w:t xml:space="preserve"> </w:t>
      </w:r>
      <w:r>
        <w:rPr>
          <w:rFonts w:ascii="楷体" w:eastAsia="仿宋" w:hAnsi="楷体" w:hint="eastAsia"/>
          <w:color w:val="000000"/>
          <w:sz w:val="32"/>
          <w:szCs w:val="32"/>
        </w:rPr>
        <w:t>2021年涉及政府采购项目2个，预算资金42.23万元，比2020年涉及政府采购项目3个，预算资金159.63万元减少 117.4万元</w:t>
      </w:r>
      <w:r>
        <w:rPr>
          <w:rFonts w:ascii="仿宋" w:eastAsia="仿宋" w:hint="eastAsia"/>
          <w:color w:val="000000"/>
          <w:sz w:val="32"/>
          <w:szCs w:val="32"/>
        </w:rPr>
        <w:t>,主要原因是具体工作需要,采购项目减少所致。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360" w:lineRule="auto"/>
        <w:ind w:firstLineChars="150" w:firstLine="48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2021年涉及政府购买服务项目8个，预算资金118.22  万元，比2020年涉及政府购买服务项目8个，预算资金238.95万元，减少120.73万元，主要原因是具体工作需要所致。</w:t>
      </w:r>
    </w:p>
    <w:p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/>
          <w:sz w:val="32"/>
          <w:szCs w:val="32"/>
        </w:rPr>
        <w:t>绩效目标情况</w:t>
      </w:r>
      <w:r>
        <w:rPr>
          <w:rFonts w:ascii="仿宋_GB2312" w:eastAsia="仿宋_GB2312" w:hint="eastAsia"/>
          <w:sz w:val="32"/>
          <w:szCs w:val="32"/>
        </w:rPr>
        <w:t>及绩效评价结果</w:t>
      </w:r>
      <w:r>
        <w:rPr>
          <w:rFonts w:ascii="仿宋_GB2312" w:eastAsia="仿宋_GB2312"/>
          <w:sz w:val="32"/>
          <w:szCs w:val="32"/>
        </w:rPr>
        <w:t>说明</w:t>
      </w:r>
    </w:p>
    <w:p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2021年填报绩效目标的预算项目为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个，金额为</w:t>
      </w:r>
      <w:r>
        <w:rPr>
          <w:rFonts w:ascii="仿宋_GB2312" w:eastAsia="仿宋_GB2312"/>
          <w:sz w:val="32"/>
          <w:szCs w:val="32"/>
        </w:rPr>
        <w:t>730.13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/>
          <w:sz w:val="32"/>
          <w:szCs w:val="32"/>
        </w:rPr>
        <w:t>其中包括市级转移支付资金项目2个，金额600万元。</w:t>
      </w:r>
      <w:bookmarkStart w:id="0" w:name="_GoBack"/>
      <w:bookmarkEnd w:id="0"/>
    </w:p>
    <w:p>
      <w:pPr>
        <w:spacing w:line="360" w:lineRule="auto"/>
        <w:ind w:firstLine="645"/>
        <w:rPr>
          <w:rFonts w:ascii="仿宋" w:eastAsia="仿宋" w:cs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2020年根据区财政局的要求，我局委托事务所对</w:t>
      </w:r>
      <w:r>
        <w:rPr>
          <w:rFonts w:ascii="仿宋" w:eastAsia="仿宋" w:cs="仿宋" w:hint="eastAsia"/>
          <w:color w:val="000000"/>
          <w:sz w:val="32"/>
          <w:szCs w:val="32"/>
        </w:rPr>
        <w:t>2019年度部门预算整体支出绩效评价，评定级别为“优秀”。</w:t>
      </w:r>
    </w:p>
    <w:p>
      <w:pPr>
        <w:spacing w:line="360" w:lineRule="auto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Chars="200" w:firstLine="640"/>
        <w:rPr>
          <w:rFonts w:ascii="仿宋" w:eastAsia="仿宋" w:cs="仿宋_GB2312"/>
          <w:sz w:val="32"/>
          <w:szCs w:val="32"/>
        </w:rPr>
      </w:pPr>
      <w:r>
        <w:rPr>
          <w:rFonts w:ascii="仿宋" w:eastAsia="仿宋" w:cs="仿宋_GB2312" w:hint="eastAsia"/>
          <w:sz w:val="32"/>
          <w:szCs w:val="32"/>
        </w:rPr>
        <w:t>2021年北京市西城区园林绿化局无国有资本经营预算拨款收支。</w:t>
      </w:r>
    </w:p>
    <w:p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360" w:lineRule="auto"/>
        <w:ind w:firstLineChars="200" w:firstLine="640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/>
          <w:color w:val="000000"/>
          <w:sz w:val="32"/>
          <w:szCs w:val="32"/>
        </w:rPr>
        <w:t>截止</w:t>
      </w:r>
      <w:r>
        <w:rPr>
          <w:rFonts w:ascii="仿宋" w:eastAsia="仿宋" w:hint="eastAsia"/>
          <w:color w:val="000000"/>
          <w:sz w:val="32"/>
          <w:szCs w:val="32"/>
        </w:rPr>
        <w:t>2020年</w:t>
      </w:r>
      <w:r>
        <w:rPr>
          <w:rFonts w:ascii="仿宋" w:eastAsia="仿宋"/>
          <w:color w:val="000000"/>
          <w:sz w:val="32"/>
          <w:szCs w:val="32"/>
        </w:rPr>
        <w:t>底，</w:t>
      </w:r>
      <w:r>
        <w:rPr>
          <w:rFonts w:ascii="仿宋" w:eastAsia="仿宋" w:hint="eastAsia"/>
          <w:color w:val="000000"/>
          <w:sz w:val="32"/>
          <w:szCs w:val="32"/>
        </w:rPr>
        <w:t>本部门</w:t>
      </w:r>
      <w:r>
        <w:rPr>
          <w:rFonts w:ascii="仿宋" w:eastAsia="仿宋"/>
          <w:color w:val="000000"/>
          <w:sz w:val="32"/>
          <w:szCs w:val="32"/>
        </w:rPr>
        <w:t>固定资产总额</w:t>
      </w:r>
      <w:r>
        <w:rPr>
          <w:rFonts w:ascii="仿宋" w:eastAsia="仿宋" w:hint="eastAsia"/>
          <w:color w:val="000000"/>
          <w:sz w:val="32"/>
          <w:szCs w:val="32"/>
        </w:rPr>
        <w:t>235.59万元</w:t>
      </w:r>
      <w:r>
        <w:rPr>
          <w:rFonts w:ascii="仿宋" w:eastAsia="仿宋"/>
          <w:color w:val="000000"/>
          <w:sz w:val="32"/>
          <w:szCs w:val="32"/>
        </w:rPr>
        <w:t>，其中：</w:t>
      </w:r>
      <w:r>
        <w:rPr>
          <w:rFonts w:ascii="仿宋" w:eastAsia="仿宋" w:hint="eastAsia"/>
          <w:color w:val="000000"/>
          <w:sz w:val="32"/>
          <w:szCs w:val="32"/>
        </w:rPr>
        <w:t>车辆0台</w:t>
      </w:r>
      <w:r>
        <w:rPr>
          <w:rFonts w:ascii="仿宋" w:eastAsia="仿宋"/>
          <w:color w:val="000000"/>
          <w:sz w:val="32"/>
          <w:szCs w:val="32"/>
        </w:rPr>
        <w:t>，</w:t>
      </w:r>
      <w:r>
        <w:rPr>
          <w:rFonts w:ascii="仿宋" w:eastAsia="仿宋" w:hint="eastAsia"/>
          <w:color w:val="000000"/>
          <w:sz w:val="32"/>
          <w:szCs w:val="32"/>
        </w:rPr>
        <w:t>0万元；单位</w:t>
      </w:r>
      <w:r>
        <w:rPr>
          <w:rFonts w:ascii="仿宋" w:eastAsia="仿宋"/>
          <w:color w:val="000000"/>
          <w:sz w:val="32"/>
          <w:szCs w:val="32"/>
        </w:rPr>
        <w:t>价值</w:t>
      </w:r>
      <w:r>
        <w:rPr>
          <w:rFonts w:ascii="仿宋" w:eastAsia="仿宋" w:hint="eastAsia"/>
          <w:color w:val="000000"/>
          <w:sz w:val="32"/>
          <w:szCs w:val="32"/>
        </w:rPr>
        <w:t>50万元以上</w:t>
      </w:r>
      <w:r>
        <w:rPr>
          <w:rFonts w:ascii="仿宋" w:eastAsia="仿宋"/>
          <w:color w:val="000000"/>
          <w:sz w:val="32"/>
          <w:szCs w:val="32"/>
        </w:rPr>
        <w:t>的</w:t>
      </w:r>
      <w:r>
        <w:rPr>
          <w:rFonts w:ascii="仿宋" w:eastAsia="仿宋" w:hint="eastAsia"/>
          <w:color w:val="000000"/>
          <w:sz w:val="32"/>
          <w:szCs w:val="32"/>
        </w:rPr>
        <w:t>通用</w:t>
      </w:r>
      <w:r>
        <w:rPr>
          <w:rFonts w:ascii="仿宋" w:eastAsia="仿宋"/>
          <w:color w:val="000000"/>
          <w:sz w:val="32"/>
          <w:szCs w:val="32"/>
        </w:rPr>
        <w:t>设备</w:t>
      </w:r>
      <w:r>
        <w:rPr>
          <w:rFonts w:ascii="仿宋" w:eastAsia="仿宋" w:hint="eastAsia"/>
          <w:color w:val="000000"/>
          <w:sz w:val="32"/>
          <w:szCs w:val="32"/>
        </w:rPr>
        <w:t>0台（套）、0万元，单位</w:t>
      </w:r>
      <w:r>
        <w:rPr>
          <w:rFonts w:ascii="仿宋" w:eastAsia="仿宋"/>
          <w:color w:val="000000"/>
          <w:sz w:val="32"/>
          <w:szCs w:val="32"/>
        </w:rPr>
        <w:t>价值100</w:t>
      </w:r>
      <w:r>
        <w:rPr>
          <w:rFonts w:ascii="仿宋" w:eastAsia="仿宋" w:hint="eastAsia"/>
          <w:color w:val="000000"/>
          <w:sz w:val="32"/>
          <w:szCs w:val="32"/>
        </w:rPr>
        <w:t>万元以上</w:t>
      </w:r>
      <w:r>
        <w:rPr>
          <w:rFonts w:ascii="仿宋" w:eastAsia="仿宋"/>
          <w:color w:val="000000"/>
          <w:sz w:val="32"/>
          <w:szCs w:val="32"/>
        </w:rPr>
        <w:t>的</w:t>
      </w:r>
      <w:r>
        <w:rPr>
          <w:rFonts w:ascii="仿宋" w:eastAsia="仿宋" w:hint="eastAsia"/>
          <w:color w:val="000000"/>
          <w:sz w:val="32"/>
          <w:szCs w:val="32"/>
        </w:rPr>
        <w:t>专用</w:t>
      </w:r>
      <w:r>
        <w:rPr>
          <w:rFonts w:ascii="仿宋" w:eastAsia="仿宋"/>
          <w:color w:val="000000"/>
          <w:sz w:val="32"/>
          <w:szCs w:val="32"/>
        </w:rPr>
        <w:t>设备</w:t>
      </w:r>
      <w:r>
        <w:rPr>
          <w:rFonts w:ascii="仿宋" w:eastAsia="仿宋" w:hint="eastAsia"/>
          <w:color w:val="000000"/>
          <w:sz w:val="32"/>
          <w:szCs w:val="32"/>
        </w:rPr>
        <w:t>0台（套）、0万元。</w:t>
      </w:r>
    </w:p>
    <w:p>
      <w:pPr>
        <w:spacing w:line="360" w:lineRule="auto"/>
        <w:ind w:firstLineChars="200" w:firstLine="640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hint="eastAsia"/>
          <w:color w:val="000000"/>
          <w:sz w:val="32"/>
          <w:szCs w:val="32"/>
        </w:rPr>
        <w:t>2021部门预算：安排购置车辆0台</w:t>
      </w:r>
      <w:r>
        <w:rPr>
          <w:rFonts w:ascii="仿宋" w:eastAsia="仿宋"/>
          <w:color w:val="000000"/>
          <w:sz w:val="32"/>
          <w:szCs w:val="32"/>
        </w:rPr>
        <w:t>，</w:t>
      </w:r>
      <w:r>
        <w:rPr>
          <w:rFonts w:ascii="仿宋" w:eastAsia="仿宋" w:hint="eastAsia"/>
          <w:color w:val="000000"/>
          <w:sz w:val="32"/>
          <w:szCs w:val="32"/>
        </w:rPr>
        <w:t>0万元；安排购置单位</w:t>
      </w:r>
      <w:r>
        <w:rPr>
          <w:rFonts w:ascii="仿宋" w:eastAsia="仿宋"/>
          <w:color w:val="000000"/>
          <w:sz w:val="32"/>
          <w:szCs w:val="32"/>
        </w:rPr>
        <w:t>价值</w:t>
      </w:r>
      <w:r>
        <w:rPr>
          <w:rFonts w:ascii="仿宋" w:eastAsia="仿宋" w:hint="eastAsia"/>
          <w:color w:val="000000"/>
          <w:sz w:val="32"/>
          <w:szCs w:val="32"/>
        </w:rPr>
        <w:t>50万元以上</w:t>
      </w:r>
      <w:r>
        <w:rPr>
          <w:rFonts w:ascii="仿宋" w:eastAsia="仿宋"/>
          <w:color w:val="000000"/>
          <w:sz w:val="32"/>
          <w:szCs w:val="32"/>
        </w:rPr>
        <w:t>的</w:t>
      </w:r>
      <w:r>
        <w:rPr>
          <w:rFonts w:ascii="仿宋" w:eastAsia="仿宋" w:hint="eastAsia"/>
          <w:color w:val="000000"/>
          <w:sz w:val="32"/>
          <w:szCs w:val="32"/>
        </w:rPr>
        <w:t>通用</w:t>
      </w:r>
      <w:r>
        <w:rPr>
          <w:rFonts w:ascii="仿宋" w:eastAsia="仿宋"/>
          <w:color w:val="000000"/>
          <w:sz w:val="32"/>
          <w:szCs w:val="32"/>
        </w:rPr>
        <w:t>设备</w:t>
      </w:r>
      <w:r>
        <w:rPr>
          <w:rFonts w:ascii="仿宋" w:eastAsia="仿宋" w:hint="eastAsia"/>
          <w:color w:val="000000"/>
          <w:sz w:val="32"/>
          <w:szCs w:val="32"/>
        </w:rPr>
        <w:t>0台（套）、0万元，安排购置单位</w:t>
      </w:r>
      <w:r>
        <w:rPr>
          <w:rFonts w:ascii="仿宋" w:eastAsia="仿宋"/>
          <w:color w:val="000000"/>
          <w:sz w:val="32"/>
          <w:szCs w:val="32"/>
        </w:rPr>
        <w:t>价值100</w:t>
      </w:r>
      <w:r>
        <w:rPr>
          <w:rFonts w:ascii="仿宋" w:eastAsia="仿宋" w:hint="eastAsia"/>
          <w:color w:val="000000"/>
          <w:sz w:val="32"/>
          <w:szCs w:val="32"/>
        </w:rPr>
        <w:t>万元以上</w:t>
      </w:r>
      <w:r>
        <w:rPr>
          <w:rFonts w:ascii="仿宋" w:eastAsia="仿宋"/>
          <w:color w:val="000000"/>
          <w:sz w:val="32"/>
          <w:szCs w:val="32"/>
        </w:rPr>
        <w:t>的</w:t>
      </w:r>
      <w:r>
        <w:rPr>
          <w:rFonts w:ascii="仿宋" w:eastAsia="仿宋" w:hint="eastAsia"/>
          <w:color w:val="000000"/>
          <w:sz w:val="32"/>
          <w:szCs w:val="32"/>
        </w:rPr>
        <w:t>专用</w:t>
      </w:r>
      <w:r>
        <w:rPr>
          <w:rFonts w:ascii="仿宋" w:eastAsia="仿宋"/>
          <w:color w:val="000000"/>
          <w:sz w:val="32"/>
          <w:szCs w:val="32"/>
        </w:rPr>
        <w:t>设备</w:t>
      </w:r>
      <w:r>
        <w:rPr>
          <w:rFonts w:ascii="仿宋" w:eastAsia="仿宋" w:hint="eastAsia"/>
          <w:color w:val="000000"/>
          <w:sz w:val="32"/>
          <w:szCs w:val="32"/>
        </w:rPr>
        <w:t>0台（套）、0万元。</w:t>
      </w:r>
    </w:p>
    <w:p>
      <w:pPr>
        <w:spacing w:line="360" w:lineRule="auto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>
      <w:pPr>
        <w:spacing w:line="360" w:lineRule="auto"/>
        <w:ind w:firstLine="648"/>
        <w:rPr>
          <w:rFonts w:ascii="仿宋" w:eastAsia="仿宋"/>
        </w:rPr>
      </w:pPr>
      <w:r>
        <w:rPr>
          <w:rFonts w:ascii="仿宋" w:eastAsia="仿宋" w:hint="eastAsia"/>
          <w:sz w:val="32"/>
          <w:szCs w:val="32"/>
        </w:rPr>
        <w:t>机关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>
      <w:pPr>
        <w:spacing w:line="560" w:lineRule="exact"/>
        <w:ind w:firstLineChars="100" w:firstLine="210"/>
      </w:pPr>
    </w:p>
    <w:sectPr>
      <w:pgSz w:w="11907" w:h="16840"/>
      <w:pgMar w:top="1077" w:right="1304" w:bottom="851" w:left="1304" w:header="851" w:footer="992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line="312" w:lineRule="auto"/>
      <w:jc w:val="center"/>
      <w:outlineLvl w:val="1"/>
    </w:pPr>
    <w:rPr>
      <w:rFonts w:ascii="Cambria" w:cs="Times New Roman" w:hAnsi="Cambria"/>
      <w:b/>
      <w:bCs/>
      <w:sz w:val="36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</TotalTime>
  <Application>Yozo_Office27021597764231180</Application>
  <Pages>8</Pages>
  <Words>0</Words>
  <Characters>2568</Characters>
  <Lines>0</Lines>
  <Paragraphs>117</Paragraphs>
  <CharactersWithSpaces>3424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dell1212</cp:lastModifiedBy>
  <cp:revision>11</cp:revision>
  <dcterms:created xsi:type="dcterms:W3CDTF">2021-02-02T02:01:00Z</dcterms:created>
  <dcterms:modified xsi:type="dcterms:W3CDTF">2021-02-02T02:50:59Z</dcterms:modified>
</cp:coreProperties>
</file>