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Chars="100" w:firstLine="440"/>
        <w:rPr>
          <w:rFonts w:ascii="宋体"/>
          <w:b/>
          <w:color w:val="000000"/>
          <w:sz w:val="44"/>
          <w:szCs w:val="44"/>
        </w:rPr>
      </w:pPr>
      <w:r>
        <w:rPr>
          <w:rFonts w:ascii="宋体" w:hint="eastAsia"/>
          <w:color w:val="000000"/>
          <w:sz w:val="44"/>
          <w:szCs w:val="44"/>
        </w:rPr>
        <w:t xml:space="preserve">   </w:t>
      </w:r>
      <w:r>
        <w:rPr>
          <w:rFonts w:ascii="宋体" w:hint="eastAsia"/>
          <w:b/>
          <w:color w:val="000000"/>
          <w:sz w:val="44"/>
          <w:szCs w:val="44"/>
        </w:rPr>
        <w:t>西城区园林绿化局2021年</w:t>
      </w:r>
      <w:r>
        <w:rPr>
          <w:rFonts w:ascii="宋体"/>
          <w:b/>
          <w:color w:val="000000"/>
          <w:sz w:val="44"/>
          <w:szCs w:val="44"/>
        </w:rPr>
        <w:t>部门预算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公开目录</w:t>
      </w: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2021年</w:t>
      </w:r>
      <w:r>
        <w:rPr>
          <w:rFonts w:ascii="黑体" w:eastAsia="黑体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2021年部门预算收支及增减变化情况说明</w:t>
      </w:r>
    </w:p>
    <w:p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Chars="300" w:firstLine="9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2021年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ascii="黑体" w:eastAsia="黑体" w:hint="eastAsia"/>
          <w:color w:val="000000"/>
          <w:sz w:val="32"/>
          <w:szCs w:val="32"/>
        </w:rPr>
        <w:t>预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ascii="黑体" w:eastAsia="黑体" w:hint="eastAsia"/>
          <w:color w:val="000000"/>
          <w:sz w:val="32"/>
          <w:szCs w:val="32"/>
        </w:rPr>
        <w:t>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表一、部门收支总体情况表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表五、一般公共预算支出情况表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表九、部门预算明细表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表十、专项转移支付预算表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表十一、部门整体支出绩效目标申报表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表十二、项目支出绩效目标申报表</w:t>
      </w: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楷体" w:eastAsia="楷体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楷体" w:eastAsia="楷体" w:hint="eastAsia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ascii="楷体" w:eastAsia="楷体" w:hint="eastAsia"/>
          <w:b/>
          <w:color w:val="000000"/>
          <w:sz w:val="36"/>
          <w:szCs w:val="36"/>
        </w:rPr>
        <w:t>2021年</w:t>
      </w:r>
      <w:r>
        <w:rPr>
          <w:rFonts w:ascii="楷体" w:eastAsia="楷体"/>
          <w:b/>
          <w:color w:val="000000"/>
          <w:sz w:val="36"/>
          <w:szCs w:val="36"/>
        </w:rPr>
        <w:t>部门预算情况说明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Chars="223" w:firstLine="714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/>
          <w:sz w:val="32"/>
          <w:szCs w:val="32"/>
        </w:rPr>
        <w:t>本部门包括本级预算单位</w:t>
      </w:r>
      <w:r>
        <w:rPr>
          <w:rFonts w:ascii="楷体" w:eastAsia="仿宋" w:hAnsi="楷体" w:hint="eastAsia"/>
          <w:sz w:val="32"/>
          <w:szCs w:val="32"/>
        </w:rPr>
        <w:t>区园林绿化局（区绿化办）</w:t>
      </w:r>
      <w:r>
        <w:rPr>
          <w:rFonts w:ascii="楷体" w:eastAsia="仿宋" w:hAnsi="楷体"/>
          <w:sz w:val="32"/>
          <w:szCs w:val="32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Chars="223" w:firstLine="714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/>
          <w:sz w:val="32"/>
          <w:szCs w:val="32"/>
        </w:rPr>
        <w:t>区园林绿化局（区绿化办）</w:t>
      </w:r>
      <w:r>
        <w:rPr>
          <w:rFonts w:ascii="楷体" w:eastAsia="仿宋" w:hAnsi="楷体" w:hint="eastAsia"/>
          <w:sz w:val="32"/>
          <w:szCs w:val="32"/>
        </w:rPr>
        <w:t>是负责本区园林绿化工作的区政府工作部门，内设6个科室。</w:t>
      </w:r>
      <w:r>
        <w:rPr>
          <w:rFonts w:ascii="楷体" w:eastAsia="仿宋" w:hAnsi="楷体"/>
          <w:sz w:val="32"/>
          <w:szCs w:val="32"/>
        </w:rPr>
        <w:t>区公园管理中心是负责区属四个公园的管理部门，内设7个科室。四个公园管理处分别负责公园的建设和管理。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360" w:lineRule="auto"/>
        <w:ind w:firstLine="555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西城区园林绿化局实有行政人员31人；退休人员51人。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西城区公园管理中心事业编制61人；实际59人；退休人员2人。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人定湖公园管理处事业编制16人；长期聘用临时工27人。退休26人。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万寿公园管理处</w:t>
      </w:r>
      <w:r>
        <w:rPr>
          <w:rFonts w:ascii="仿宋_GB2312" w:eastAsia="仿宋_GB2312" w:hint="eastAsia"/>
          <w:sz w:val="32"/>
          <w:szCs w:val="32"/>
        </w:rPr>
        <w:t>事业编制29人；实际21人；退休21人。</w:t>
      </w:r>
    </w:p>
    <w:p>
      <w:pPr>
        <w:spacing w:line="360" w:lineRule="auto"/>
        <w:ind w:firstLine="555"/>
        <w:rPr>
          <w:rFonts w:ascii="楷体" w:eastAsia="仿宋" w:cs="宋体" w:hAnsi="楷体" w:hint="eastAsia"/>
          <w:sz w:val="32"/>
          <w:szCs w:val="32"/>
        </w:rPr>
      </w:pPr>
      <w:r>
        <w:rPr>
          <w:rFonts w:ascii="楷体" w:eastAsia="仿宋" w:cs="宋体" w:hAnsi="楷体" w:hint="eastAsia"/>
          <w:sz w:val="32"/>
          <w:szCs w:val="32"/>
        </w:rPr>
        <w:t>宣武艺园管理处事业编制44人；工勤编制25人；实际30人；退休2人。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月坛公园管理处事业编制21人；实际17人；长期聘用临时工25人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退休32人。</w:t>
      </w:r>
    </w:p>
    <w:p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2021年部门预算收支及增减变化情况说明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(一)收入预算说明</w:t>
      </w:r>
    </w:p>
    <w:p>
      <w:pPr>
        <w:spacing w:line="360" w:lineRule="auto"/>
        <w:ind w:firstLine="555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2021年西城区园林绿化局部门预算收入</w:t>
      </w:r>
      <w:r>
        <w:rPr>
          <w:rFonts w:ascii="仿宋" w:eastAsia="仿宋"/>
          <w:sz w:val="32"/>
          <w:szCs w:val="32"/>
        </w:rPr>
        <w:t>9126.81</w:t>
      </w:r>
      <w:r>
        <w:rPr>
          <w:rFonts w:ascii="仿宋" w:eastAsia="仿宋" w:hint="eastAsia"/>
          <w:sz w:val="32"/>
          <w:szCs w:val="32"/>
        </w:rPr>
        <w:t>万元</w:t>
      </w:r>
      <w:r>
        <w:rPr>
          <w:rFonts w:ascii="仿宋" w:eastAsia="仿宋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其中：财政拨款</w:t>
      </w:r>
      <w:r>
        <w:rPr>
          <w:rFonts w:ascii="仿宋" w:eastAsia="仿宋"/>
          <w:sz w:val="32"/>
          <w:szCs w:val="32"/>
        </w:rPr>
        <w:t>9126.81</w:t>
      </w:r>
      <w:r>
        <w:rPr>
          <w:rFonts w:ascii="仿宋" w:eastAsia="仿宋" w:hint="eastAsia"/>
          <w:sz w:val="32"/>
          <w:szCs w:val="32"/>
        </w:rPr>
        <w:t>万元。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市级转移支付资金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800万元，主要用于西城区古树名木的管理工作</w:t>
      </w:r>
      <w:r>
        <w:rPr>
          <w:rFonts w:ascii="仿宋" w:eastAsia="仿宋"/>
          <w:sz w:val="32"/>
          <w:szCs w:val="32"/>
        </w:rPr>
        <w:t>和两个全龄友好公园的改造建设</w:t>
      </w:r>
      <w:r>
        <w:rPr>
          <w:rFonts w:ascii="仿宋" w:eastAsia="仿宋" w:hint="eastAsia"/>
          <w:sz w:val="32"/>
          <w:szCs w:val="32"/>
        </w:rPr>
        <w:t>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(二)支出预算说明</w:t>
      </w:r>
    </w:p>
    <w:p>
      <w:pPr>
        <w:spacing w:line="360" w:lineRule="auto"/>
        <w:ind w:firstLine="555"/>
        <w:rPr>
          <w:rFonts w:ascii="楷体" w:eastAsia="仿宋" w:hAnsi="楷体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2021年支出预算按用途划分：（1）基本支出预算</w:t>
      </w:r>
      <w:r>
        <w:rPr>
          <w:rFonts w:ascii="仿宋" w:eastAsia="仿宋"/>
          <w:sz w:val="32"/>
          <w:szCs w:val="32"/>
        </w:rPr>
        <w:t>6634.34</w:t>
      </w:r>
      <w:r>
        <w:rPr>
          <w:rFonts w:ascii="仿宋" w:eastAsia="仿宋" w:hint="eastAsia"/>
          <w:sz w:val="32"/>
          <w:szCs w:val="32"/>
        </w:rPr>
        <w:t>万元，其中：2021年公用支出</w:t>
      </w:r>
      <w:r>
        <w:rPr>
          <w:rFonts w:ascii="仿宋" w:eastAsia="仿宋"/>
          <w:sz w:val="32"/>
          <w:szCs w:val="32"/>
        </w:rPr>
        <w:t>548.83</w:t>
      </w:r>
      <w:r>
        <w:rPr>
          <w:rFonts w:ascii="仿宋" w:eastAsia="仿宋" w:hint="eastAsia"/>
          <w:sz w:val="32"/>
          <w:szCs w:val="32"/>
        </w:rPr>
        <w:t>万元。</w:t>
      </w:r>
      <w:r>
        <w:rPr>
          <w:rFonts w:ascii="楷体" w:eastAsia="仿宋" w:hAnsi="楷体" w:hint="eastAsia"/>
          <w:sz w:val="32"/>
          <w:szCs w:val="32"/>
        </w:rPr>
        <w:t>（2）项目支出预算</w:t>
      </w:r>
      <w:r>
        <w:rPr>
          <w:rFonts w:ascii="楷体" w:eastAsia="仿宋" w:hAnsi="楷体"/>
          <w:sz w:val="32"/>
          <w:szCs w:val="32"/>
        </w:rPr>
        <w:t>2492.48</w:t>
      </w:r>
      <w:r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楷体" w:eastAsia="仿宋" w:hAnsi="楷体"/>
          <w:sz w:val="32"/>
          <w:szCs w:val="32"/>
        </w:rPr>
        <w:t>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市级转移支付资金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800万元，主要用于西城区古树名木的管理工作</w:t>
      </w:r>
      <w:r>
        <w:rPr>
          <w:rFonts w:ascii="仿宋" w:eastAsia="仿宋"/>
          <w:sz w:val="32"/>
          <w:szCs w:val="32"/>
        </w:rPr>
        <w:t>和公园改造建设</w:t>
      </w:r>
      <w:r>
        <w:rPr>
          <w:rFonts w:ascii="仿宋" w:eastAsia="仿宋" w:hint="eastAsia"/>
          <w:sz w:val="32"/>
          <w:szCs w:val="32"/>
        </w:rPr>
        <w:t>。</w:t>
      </w:r>
    </w:p>
    <w:p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Chars="100" w:firstLine="32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（一）基本支出主要包括在职、离退休人员支出、个人和家庭</w:t>
      </w:r>
    </w:p>
    <w:p>
      <w:pPr>
        <w:snapToGrid w:val="0"/>
        <w:spacing w:line="360" w:lineRule="auto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补助支出、公用支出。</w:t>
      </w:r>
    </w:p>
    <w:p>
      <w:pPr>
        <w:snapToGrid w:val="0"/>
        <w:spacing w:line="360" w:lineRule="auto"/>
        <w:ind w:firstLineChars="200" w:firstLine="640"/>
        <w:rPr>
          <w:rFonts w:ascii="仿宋" w:eastAsia="仿宋"/>
          <w:kern w:val="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（二）项目支出主要包括治理杨柳飞絮专项经费、群植绿化和危险性林木有害生物防控</w:t>
      </w:r>
      <w:r>
        <w:rPr>
          <w:rFonts w:ascii="仿宋" w:eastAsia="仿宋"/>
          <w:sz w:val="32"/>
          <w:szCs w:val="32"/>
        </w:rPr>
        <w:t>、公园运行维护和改造提升</w:t>
      </w:r>
      <w:r>
        <w:rPr>
          <w:rFonts w:ascii="仿宋" w:eastAsia="仿宋" w:hint="eastAsia"/>
          <w:kern w:val="0"/>
          <w:sz w:val="32"/>
          <w:szCs w:val="32"/>
        </w:rPr>
        <w:t>等。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北京市西城区园林绿化局(本级)部门预算</w:t>
      </w:r>
      <w:r>
        <w:rPr>
          <w:rFonts w:ascii="仿宋_GB2312" w:eastAsia="仿宋" w:hAnsi="仿宋_GB2312"/>
          <w:sz w:val="32"/>
          <w:szCs w:val="32"/>
        </w:rPr>
        <w:t>和二级预算单位</w:t>
      </w:r>
      <w:r>
        <w:rPr>
          <w:rFonts w:ascii="仿宋_GB2312" w:eastAsia="仿宋" w:hAnsi="仿宋_GB2312" w:hint="eastAsia"/>
          <w:sz w:val="32"/>
          <w:szCs w:val="32"/>
        </w:rPr>
        <w:t>中因公出国（境）费、公务接待费、公务用车购置及运行维护费的支出单位包括</w:t>
      </w:r>
      <w:r>
        <w:rPr>
          <w:rFonts w:ascii="仿宋_GB2312" w:eastAsia="仿宋" w:hAnsi="仿宋_GB2312"/>
          <w:sz w:val="32"/>
          <w:szCs w:val="32"/>
        </w:rPr>
        <w:t>6</w:t>
      </w:r>
      <w:r>
        <w:rPr>
          <w:rFonts w:ascii="仿宋_GB2312" w:eastAsia="仿宋" w:hAnsi="仿宋_GB2312" w:hint="eastAsia"/>
          <w:sz w:val="32"/>
          <w:szCs w:val="32"/>
        </w:rPr>
        <w:t>个所属单位。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2021年部门预算“三公”经费财政拨款预算安排</w:t>
      </w:r>
      <w:r>
        <w:rPr>
          <w:rFonts w:ascii="仿宋" w:eastAsia="仿宋"/>
          <w:sz w:val="32"/>
          <w:szCs w:val="32"/>
        </w:rPr>
        <w:t>132156.54</w:t>
      </w:r>
      <w:r>
        <w:rPr>
          <w:rFonts w:ascii="仿宋" w:eastAsia="仿宋" w:hint="eastAsia"/>
          <w:sz w:val="32"/>
          <w:szCs w:val="32"/>
        </w:rPr>
        <w:t>元</w:t>
      </w:r>
      <w:r>
        <w:rPr>
          <w:rFonts w:ascii="仿宋" w:eastAsia="仿宋"/>
          <w:sz w:val="32"/>
          <w:szCs w:val="32"/>
        </w:rPr>
        <w:t>。</w:t>
      </w:r>
      <w:r>
        <w:rPr>
          <w:rFonts w:ascii="仿宋" w:eastAsia="仿宋" w:hint="eastAsia"/>
          <w:sz w:val="32"/>
          <w:szCs w:val="32"/>
        </w:rPr>
        <w:t>1、因公出国（境）费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2021年财政拨款预算安排0万元, 与2020年财政预算数持平。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2、公务接待费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2021年财政拨款预算安排</w:t>
      </w:r>
      <w:r>
        <w:rPr>
          <w:rFonts w:ascii="仿宋" w:eastAsia="仿宋"/>
          <w:sz w:val="32"/>
          <w:szCs w:val="32"/>
        </w:rPr>
        <w:t>61687.81</w:t>
      </w:r>
      <w:r>
        <w:rPr>
          <w:rFonts w:ascii="仿宋" w:eastAsia="仿宋" w:hint="eastAsia"/>
          <w:sz w:val="32"/>
          <w:szCs w:val="32"/>
        </w:rPr>
        <w:t>元。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3、公务用车购置及运行维护费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2021年财政拨款预算安排</w:t>
      </w:r>
      <w:r>
        <w:rPr>
          <w:rFonts w:ascii="仿宋" w:eastAsia="仿宋"/>
          <w:sz w:val="32"/>
          <w:szCs w:val="32"/>
        </w:rPr>
        <w:t>70500</w:t>
      </w:r>
      <w:r>
        <w:rPr>
          <w:rFonts w:ascii="仿宋" w:eastAsia="仿宋" w:hint="eastAsia"/>
          <w:sz w:val="32"/>
          <w:szCs w:val="32"/>
        </w:rPr>
        <w:t>元，其中公务用车购置费0万元，公务用车运行维护费</w:t>
      </w:r>
      <w:r>
        <w:rPr>
          <w:rFonts w:ascii="仿宋" w:eastAsia="仿宋"/>
          <w:sz w:val="32"/>
          <w:szCs w:val="32"/>
        </w:rPr>
        <w:t>70500</w:t>
      </w:r>
      <w:r>
        <w:rPr>
          <w:rFonts w:ascii="仿宋" w:eastAsia="仿宋" w:hint="eastAsia"/>
          <w:sz w:val="32"/>
          <w:szCs w:val="32"/>
        </w:rPr>
        <w:t>元。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leftChars="152" w:left="319" w:firstLineChars="50" w:firstLine="1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 xml:space="preserve"> 2021年本部门(本级）履行一般行政事业管理职能、维持机关运行，用于一般公共预算安排的行政运行经费，合计</w:t>
      </w:r>
      <w:r>
        <w:rPr>
          <w:rFonts w:ascii="楷体" w:eastAsia="仿宋" w:hAnsi="楷体"/>
          <w:sz w:val="32"/>
          <w:szCs w:val="32"/>
        </w:rPr>
        <w:t>533.82</w:t>
      </w:r>
      <w:r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楷体" w:eastAsia="仿宋" w:hAnsi="楷体"/>
          <w:sz w:val="32"/>
          <w:szCs w:val="32"/>
        </w:rPr>
        <w:t>。</w:t>
      </w:r>
      <w:r>
        <w:rPr>
          <w:rFonts w:ascii="楷体" w:eastAsia="仿宋" w:hAnsi="楷体" w:hint="eastAsia"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360" w:lineRule="auto"/>
        <w:ind w:firstLineChars="150" w:firstLine="480"/>
        <w:rPr>
          <w:rFonts w:ascii="仿宋" w:eastAsia="仿宋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FF0000"/>
          <w:sz w:val="32"/>
          <w:szCs w:val="32"/>
        </w:rPr>
        <w:t xml:space="preserve"> </w:t>
      </w:r>
      <w:r>
        <w:rPr>
          <w:rFonts w:ascii="楷体" w:eastAsia="仿宋" w:hAnsi="楷体" w:hint="eastAsia"/>
          <w:color w:val="000000"/>
          <w:sz w:val="32"/>
          <w:szCs w:val="32"/>
        </w:rPr>
        <w:t>2021年涉及政府采购项目2个，预算资金42.23万元，比2020年涉及政府采购项目3个，预算资金159.63万元减少 117.4万元</w:t>
      </w:r>
      <w:r>
        <w:rPr>
          <w:rFonts w:ascii="仿宋" w:eastAsia="仿宋" w:hint="eastAsia"/>
          <w:color w:val="000000"/>
          <w:sz w:val="32"/>
          <w:szCs w:val="32"/>
        </w:rPr>
        <w:t>,主要原因是具体工作需要,采购项目减少所致。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360" w:lineRule="auto"/>
        <w:ind w:firstLineChars="150" w:firstLine="4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2021年涉及政府购买服务项目8个，预算资金118.22  万元，比2020年涉及政府购买服务项目8个，预算资金238.95万元，减少120.73万元，主要原因是具体工作需要所致。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绩效目标情况</w:t>
      </w:r>
      <w:r>
        <w:rPr>
          <w:rFonts w:ascii="仿宋_GB2312" w:eastAsia="仿宋_GB2312" w:hint="eastAsia"/>
          <w:sz w:val="32"/>
          <w:szCs w:val="32"/>
        </w:rPr>
        <w:t>及绩效评价结果</w:t>
      </w:r>
      <w:r>
        <w:rPr>
          <w:rFonts w:ascii="仿宋_GB2312" w:eastAsia="仿宋_GB2312"/>
          <w:sz w:val="32"/>
          <w:szCs w:val="32"/>
        </w:rPr>
        <w:t>说明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2021年填报绩效目标的预算项目为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个，金额为</w:t>
      </w:r>
      <w:r>
        <w:rPr>
          <w:rFonts w:ascii="仿宋_GB2312" w:eastAsia="仿宋_GB2312"/>
          <w:sz w:val="32"/>
          <w:szCs w:val="32"/>
        </w:rPr>
        <w:t>730.13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其中包括市级转移支付资金项目2个，金额600万元。</w:t>
      </w:r>
    </w:p>
    <w:p>
      <w:pPr>
        <w:spacing w:line="360" w:lineRule="auto"/>
        <w:ind w:firstLine="645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2020年根据区财政局的要求，我局委托事务所对</w:t>
      </w:r>
      <w:r>
        <w:rPr>
          <w:rFonts w:ascii="仿宋" w:eastAsia="仿宋" w:cs="仿宋" w:hint="eastAsia"/>
          <w:color w:val="000000"/>
          <w:sz w:val="32"/>
          <w:szCs w:val="32"/>
        </w:rPr>
        <w:t>2019年度部门预算整体支出绩效评价，评定级别为“优秀”。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2021年北京市西城区园林绿化局</w:t>
      </w:r>
      <w:r>
        <w:rPr>
          <w:rFonts w:ascii="仿宋" w:eastAsia="仿宋" w:cs="仿宋_GB2312"/>
          <w:sz w:val="32"/>
          <w:szCs w:val="32"/>
        </w:rPr>
        <w:t>及下属二级预算单位</w:t>
      </w:r>
      <w:r>
        <w:rPr>
          <w:rFonts w:ascii="仿宋" w:eastAsia="仿宋" w:cs="仿宋_GB2312" w:hint="eastAsia"/>
          <w:sz w:val="32"/>
          <w:szCs w:val="32"/>
        </w:rPr>
        <w:t>无国有资本经营预算拨款收支。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截止</w:t>
      </w:r>
      <w:r>
        <w:rPr>
          <w:rFonts w:ascii="仿宋" w:eastAsia="仿宋" w:hint="eastAsia"/>
          <w:color w:val="000000"/>
          <w:sz w:val="32"/>
          <w:szCs w:val="32"/>
        </w:rPr>
        <w:t>2020年</w:t>
      </w:r>
      <w:r>
        <w:rPr>
          <w:rFonts w:ascii="仿宋" w:eastAsia="仿宋"/>
          <w:color w:val="000000"/>
          <w:sz w:val="32"/>
          <w:szCs w:val="32"/>
        </w:rPr>
        <w:t>底，</w:t>
      </w:r>
      <w:r>
        <w:rPr>
          <w:rFonts w:ascii="仿宋" w:eastAsia="仿宋" w:hint="eastAsia"/>
          <w:color w:val="000000"/>
          <w:sz w:val="32"/>
          <w:szCs w:val="32"/>
        </w:rPr>
        <w:t>本部门</w:t>
      </w:r>
      <w:r>
        <w:rPr>
          <w:rFonts w:ascii="仿宋" w:eastAsia="仿宋"/>
          <w:color w:val="000000"/>
          <w:sz w:val="32"/>
          <w:szCs w:val="32"/>
        </w:rPr>
        <w:t>固定资产总额2804.03</w:t>
      </w:r>
      <w:r>
        <w:rPr>
          <w:rFonts w:ascii="仿宋" w:eastAsia="仿宋" w:hint="eastAsia"/>
          <w:color w:val="000000"/>
          <w:sz w:val="32"/>
          <w:szCs w:val="32"/>
        </w:rPr>
        <w:t>万元</w:t>
      </w:r>
      <w:bookmarkStart w:id="0" w:name="_GoBack"/>
      <w:bookmarkEnd w:id="0"/>
      <w:r>
        <w:rPr>
          <w:rFonts w:ascii="仿宋" w:eastAsia="仿宋" w:hint="eastAsia"/>
          <w:color w:val="000000"/>
          <w:sz w:val="32"/>
          <w:szCs w:val="32"/>
        </w:rPr>
        <w:t>。</w:t>
      </w:r>
    </w:p>
    <w:p>
      <w:pPr>
        <w:spacing w:line="360" w:lineRule="auto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2021部门预算：安排购置车辆0台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ascii="仿宋" w:eastAsia="仿宋" w:hint="eastAsia"/>
          <w:color w:val="000000"/>
          <w:sz w:val="32"/>
          <w:szCs w:val="32"/>
        </w:rPr>
        <w:t>0万元；安排购置单位</w:t>
      </w:r>
      <w:r>
        <w:rPr>
          <w:rFonts w:ascii="仿宋" w:eastAsia="仿宋"/>
          <w:color w:val="000000"/>
          <w:sz w:val="32"/>
          <w:szCs w:val="32"/>
        </w:rPr>
        <w:t>价值</w:t>
      </w:r>
      <w:r>
        <w:rPr>
          <w:rFonts w:ascii="仿宋" w:eastAsia="仿宋" w:hint="eastAsia"/>
          <w:color w:val="000000"/>
          <w:sz w:val="32"/>
          <w:szCs w:val="32"/>
        </w:rPr>
        <w:t>50万元以上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ascii="仿宋" w:eastAsia="仿宋" w:hint="eastAsia"/>
          <w:color w:val="000000"/>
          <w:sz w:val="32"/>
          <w:szCs w:val="32"/>
        </w:rPr>
        <w:t>通用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ascii="仿宋" w:eastAsia="仿宋" w:hint="eastAsia"/>
          <w:color w:val="000000"/>
          <w:sz w:val="32"/>
          <w:szCs w:val="32"/>
        </w:rPr>
        <w:t>0台（套）、0万元，安排购置单位</w:t>
      </w:r>
      <w:r>
        <w:rPr>
          <w:rFonts w:ascii="仿宋" w:eastAsia="仿宋"/>
          <w:color w:val="000000"/>
          <w:sz w:val="32"/>
          <w:szCs w:val="32"/>
        </w:rPr>
        <w:t>价值100</w:t>
      </w:r>
      <w:r>
        <w:rPr>
          <w:rFonts w:ascii="仿宋" w:eastAsia="仿宋" w:hint="eastAsia"/>
          <w:color w:val="000000"/>
          <w:sz w:val="32"/>
          <w:szCs w:val="32"/>
        </w:rPr>
        <w:t>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ascii="仿宋" w:eastAsia="仿宋" w:hint="eastAsia"/>
          <w:color w:val="000000"/>
          <w:sz w:val="32"/>
          <w:szCs w:val="32"/>
        </w:rPr>
        <w:t>专用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ascii="仿宋" w:eastAsia="仿宋" w:hint="eastAsia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eastAsia="仿宋"/>
        </w:rPr>
      </w:pPr>
      <w:r>
        <w:rPr>
          <w:rFonts w:ascii="仿宋" w:eastAsia="仿宋" w:hint="eastAsia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Chars="100" w:firstLine="210"/>
      </w:pPr>
    </w:p>
    <w:p/>
    <w:sectPr>
      <w:pgSz w:w="11907" w:h="16840"/>
      <w:pgMar w:top="1077" w:right="1304" w:bottom="851" w:left="1304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107</TotalTime>
  <Application>Yozo_Office27021597764231180</Application>
  <Pages>6</Pages>
  <Words>0</Words>
  <Characters>1860</Characters>
  <Lines>0</Lines>
  <Paragraphs>107</Paragraphs>
  <CharactersWithSpaces>2480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dell1212</dc:creator>
  <cp:lastModifiedBy>dell1212</cp:lastModifiedBy>
  <cp:revision>1</cp:revision>
  <dcterms:created xsi:type="dcterms:W3CDTF">2021-02-03T06:34:01Z</dcterms:created>
  <dcterms:modified xsi:type="dcterms:W3CDTF">2021-02-03T08:21:06Z</dcterms:modified>
</cp:coreProperties>
</file>