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center"/>
        <w:textAlignment w:val="baseline"/>
        <w:rPr>
          <w:rFonts w:ascii="Calibri" w:hAnsi="Calibri" w:cs="Calibri"/>
          <w:i w:val="0"/>
          <w:caps w:val="0"/>
          <w:color w:val="505050"/>
          <w:spacing w:val="0"/>
          <w:sz w:val="21"/>
          <w:szCs w:val="21"/>
          <w:u w:val="none"/>
        </w:rPr>
      </w:pPr>
      <w:r>
        <w:rPr>
          <w:rFonts w:ascii="方正小标宋简体" w:hAnsi="方正小标宋简体" w:eastAsia="方正小标宋简体" w:cs="方正小标宋简体"/>
          <w:i w:val="0"/>
          <w:caps w:val="0"/>
          <w:color w:val="505050"/>
          <w:spacing w:val="0"/>
          <w:sz w:val="36"/>
          <w:szCs w:val="36"/>
          <w:u w:val="none"/>
          <w:shd w:val="clear" w:fill="FFFFFF"/>
          <w:vertAlign w:val="baseline"/>
        </w:rPr>
        <w:t>椿树街道</w:t>
      </w:r>
      <w:r>
        <w:rPr>
          <w:rFonts w:hint="eastAsia" w:ascii="方正小标宋简体" w:hAnsi="方正小标宋简体" w:eastAsia="方正小标宋简体" w:cs="方正小标宋简体"/>
          <w:i w:val="0"/>
          <w:caps w:val="0"/>
          <w:color w:val="505050"/>
          <w:spacing w:val="0"/>
          <w:sz w:val="36"/>
          <w:szCs w:val="36"/>
          <w:u w:val="none"/>
          <w:shd w:val="clear" w:fill="FFFFFF"/>
          <w:vertAlign w:val="baseline"/>
        </w:rPr>
        <w:t>2018年政府信息公开工作年度报告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center"/>
        <w:textAlignment w:val="baseline"/>
        <w:rPr>
          <w:rFonts w:hint="eastAsia" w:ascii="方正小标宋简体" w:hAnsi="方正小标宋简体" w:eastAsia="方正小标宋简体" w:cs="方正小标宋简体"/>
          <w:b/>
          <w:i w:val="0"/>
          <w:caps w:val="0"/>
          <w:color w:val="505050"/>
          <w:spacing w:val="0"/>
          <w:sz w:val="28"/>
          <w:szCs w:val="28"/>
          <w:u w:val="none"/>
          <w:shd w:val="clear" w:fill="FFFFFF"/>
          <w:vertAlign w:val="baseline"/>
        </w:rPr>
      </w:pPr>
      <w:r>
        <w:rPr>
          <w:rFonts w:hint="eastAsia" w:ascii="方正小标宋简体" w:hAnsi="方正小标宋简体" w:eastAsia="方正小标宋简体" w:cs="方正小标宋简体"/>
          <w:b/>
          <w:i w:val="0"/>
          <w:caps w:val="0"/>
          <w:color w:val="505050"/>
          <w:spacing w:val="0"/>
          <w:sz w:val="28"/>
          <w:szCs w:val="28"/>
          <w:u w:val="none"/>
          <w:shd w:val="clear" w:fill="FFFFFF"/>
          <w:vertAlign w:val="baseline"/>
        </w:rPr>
        <w:t>2019年3月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center"/>
        <w:textAlignment w:val="baseline"/>
        <w:rPr>
          <w:rFonts w:hint="default" w:ascii="方正小标宋简体" w:hAnsi="方正小标宋简体" w:eastAsia="方正小标宋简体" w:cs="方正小标宋简体"/>
          <w:b/>
          <w:i w:val="0"/>
          <w:caps w:val="0"/>
          <w:color w:val="505050"/>
          <w:spacing w:val="0"/>
          <w:sz w:val="28"/>
          <w:szCs w:val="28"/>
          <w:u w:val="none"/>
          <w:shd w:val="clear" w:fill="FFFFFF"/>
          <w:vertAlign w:val="baseli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center"/>
        <w:textAlignment w:val="baseline"/>
        <w:rPr>
          <w:rFonts w:hint="default" w:ascii="Calibri" w:hAnsi="Calibri" w:cs="Calibri"/>
          <w:i w:val="0"/>
          <w:caps w:val="0"/>
          <w:color w:val="505050"/>
          <w:spacing w:val="0"/>
          <w:sz w:val="21"/>
          <w:szCs w:val="21"/>
          <w:u w:val="none"/>
        </w:rPr>
      </w:pPr>
      <w:r>
        <w:rPr>
          <w:rFonts w:ascii="仿宋" w:hAnsi="仿宋" w:eastAsia="仿宋" w:cs="仿宋"/>
          <w:i w:val="0"/>
          <w:caps w:val="0"/>
          <w:color w:val="505050"/>
          <w:spacing w:val="0"/>
          <w:sz w:val="30"/>
          <w:szCs w:val="30"/>
          <w:u w:val="none"/>
          <w:shd w:val="clear" w:fill="FFFFFF"/>
          <w:vertAlign w:val="baseline"/>
        </w:rPr>
        <w:t>引言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本报告是根据《中华人民共和国政府信息公开条例》和《北京市政府信息公开规定》要求，由北京市西城区人民政府椿树街道办事处编制的2018年度政府信息公开工作年度报告。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全文包括概述，主动公开政府信息的情况，依申请公开政府信息和不予公开政府信息的情况，政府信息公开的人员、收费及减免情况，政府信息公开咨询情况，因政府信息公开申请行政复议、提起行政诉讼的情况，政府信息公开工作存在的主要问题、改进情况和其他需要报告的事项。报告后附相关的说明和指标统计图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首都之窗—西城区人民政府椿树街道专栏（http://zfxxgk.beijing.gov.cn/xcq11B063/xcbm_index.shtml）或西城区政府网站（http://www.bjxch.gov.cn）政府信息公开专栏上可下载本报告的电子版。如对本报告有任何疑问，请联系：北京市西城区人民政府椿树街道办事处综合办公室（北京市西城区椿树园小区11号楼甲1号）；邮编：100052；联系电话：010-63103621；传真：010-63108259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2018年，椿树街道政务公开政府信息公开工作在区委、区政府的领导下，认真学习宣传贯彻党的十九大精神，深入贯彻习近平总书记对北京重要讲话精神，在疏解整治促提升、民生保障、行政管理综合执法等工作中，深入推进信息公开，深化公开内容。健全工作制度，加强平台建设，及时回应公众关注的问题，提升公信力，为我街道工作发展发挥了应有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二、本年度重点工作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（一）2018年政府信息公开工作要点落实情况。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1.健全工作制度。为确保政务公开工作扎实推进，我街道按照区信息公开办、区科信委要求，认真梳理《政务公开全清单》，确保各科室工作内容做到“应公开、尽公开”；强化信息发布制度，严格按照椿树街道政务公开相关制度，做好信息公开内容的审核，所有信息发布由街道综合办公室管理，建立信息发布协调制度，确保安全性与准确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2.加强平台建设。一是加强网站建设，按照区相关文件要求，对街道网站政府信息公开内容进行梳理，充实相关内容；积极配合区整合政务门户网站工作要求，开展自查，完成自查报告；继续加强街道政务新媒体建设，充分利用“嗨!椿树”微信平台。二是加强政务公开公示，在街道公共服务大厅设立两处便民查阅点，方便居民查阅相关信息。三是加强干部培训。我街道积极配合区信息公开办“以干代训”工作要求，委派一名干部到区信息公开二科参加为期一月的“依申请公开”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3.推进重点领域信息公开。将涉及广大人民群众切身利益的事项作为政务公开的重点，认真梳理街道重点领域信息公开清单。在街道信息公开专栏网站公布西琉璃厂片区街区治理工作进展，及时公布街道环境美化工作进程；按时公开经批准的预算、预算调整、决算、预算执行情况报告及报表，积极推进预算绩效信息公开；定期更新安全生产监督检查工作信息及联合执法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（二）2018年建议和提案办理结果情况。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2018年，椿树街道办事处严格按照市、区工作部署和要求，充分发挥属地管理职能和综合协调平台作用，以“改善民生、推动发展”为主线，以“实事求是、解决问题、注重实效”为重点，确保将会办工作做到代表、委员满意，人民群众满意。共收到人大建议1条，政协提案1条，均已按照相关要求办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三、政府信息公开数据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1、主动公开情况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本单位2018年共主动公开政府信息225条，其中全文电子化率达100%。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在主动公开的信息中，机构职能类信息30条，具体内容为各个部门的主要工作内容及主要工作法定职责，需要随时更新，占总体的比例为13.3%；法规文件类信息4条，占总体的比例为1.7%；规划计划类信息6条，占总体的比例为2.6%；财政预、决算信息5条，占总体的比例为2.2%；行政职责类信息2条，具体内容为用人单位办理就业登记办事指南及城市管理执法数据，我街道随时更新，占总体的比例为0.8%；业务动态类信息119条，具体内容为各部门工作动态，培训、活动信息，廉政动态、统计调查，其他与百姓生活、企业发展密切相关的部门动态信息，占总体的比例为52.9%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2、回应解读情况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回应公众关注热点或重大舆情数0次；回应公众关注热点数0次。包括，参加或举办新闻发布会总次数0次（主要负责同志参加新闻发布会次数为0）。政府网站在线访谈次数2次（主要负责同志参加政府网站在线访谈次数1次）。政策解读稿件发布数0篇；微博微信回应事件数1次；其他方式回应事件数5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3、依申请公开情况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（1）申请情况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本单位2018年度共收到政府信息公开申请2件，与上年持平，均已按时答复。其中，当面申请、传真形式申请均为0件，同上年相比无变化；以信函形式申请1件，以电子邮件形式申请1件，与上年相比无变化。从申请的信息内容来看，2件均为行政职责类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（2）答复情况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在已经答复的2件申请中：“同意公开”的为2件，一件要求获取“本街道残障人士人数和就业情况”，另一件要求获取“2018年8月16日新闻椿树街道‘吹哨’多部门整治非法“一日游”查处机构或人员名单”，均已按时答复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（3）依申请公开政府信息收费情况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2018年本单位依申请提供政府信息共收取检索、复印、邮递等成本费用共计0元。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（4）依申请公开政府信息减免收费情况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2018年本单位对政府信息公开申请人减免收取检索、复印、邮递等成本费用共计0元。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（5）与诉讼有关的费用支出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2018年本单位与诉讼有关的费用支出共计0元。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4、咨询情况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2018年，本单位共接受公民、法人及其他组织政府信息公开方面的咨询4人次。其中，现场咨询0人次，占总数的0%；电话咨询4人次，占总数的100%；网上咨询0人次，占总数的0%。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5、行政复议和行政诉讼情况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2018年，针对本单位政府信息公开的行政复议申请0件。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针对本单位政府信息公开的行政诉讼案0件。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针对本单位政府信息公开的申诉案0件。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6、机构建设及保障培训情况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本单位政府信息公开工作专门机构数为0个，设置政府信息公开查阅点数2个；从事政府信息公开工作人员1名，其中，专职人员数为0；兼职人员数1名。政府信息公开专项经费5000元。本单位全年召开政府信息公开工作会议或专题会议数5次；举办各类培训班数2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四、主要问题及改进措施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（一）存在问题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2018年，我街道在政府信息公开工作中虽然取得了一定的成绩，但还存在一些问题和不足之处，主要有以下三个方面：1、政府信息公开工作制度建设还需加强，政府信息公开相关制度还需完善。2、网站栏目的内容有待完善，信息量有待增加。3、政府信息公开工作涉及面广、工作量大，目前从事此项工作的专职人员严重不足，在资料收集整理、及时发布、更新等方面还存在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（二）整改措施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针对存在的问题，在今后工作中，我们将进一步加大工作力度，完善组织机构，完善功能，提高服务水平和办事效率。提出以下具体措施：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1、统一思想，提高认识，坚定不移地做好政府信息公开工作。把政府信息公开作为服务经济、服务社会、服务民生的重要途径，做到机构健全、制度完善、责任到人，建立起各司其职、运转协调的政府信息公开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2、进一步加大电子政务系统建设，精简优化政府信息公开环节，确保公开信息的时效性。从方便公众查询的角度出发，进一步配合区整合政府门户网站的要求，整合信息资源和服务资源，方便公众查询。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3、深化信息公开内容，推进重点领域信息公开工作，按公开信息的内容和时限要求，及时更新维护。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4、完善政府信息监督管理机制，确保信息公开准确及时。进一步规范、细化各科室的政府信息公开工作报送、检查制度，保证网站信息及时更新。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textAlignment w:val="baseline"/>
        <w:rPr>
          <w:rFonts w:hint="default" w:ascii="Calibri" w:hAnsi="Calibri" w:cs="Calibri"/>
          <w:i w:val="0"/>
          <w:caps w:val="0"/>
          <w:color w:val="505050"/>
          <w:spacing w:val="0"/>
          <w:sz w:val="21"/>
          <w:szCs w:val="21"/>
          <w:u w:val="none"/>
        </w:rPr>
      </w:pPr>
      <w:r>
        <w:rPr>
          <w:rFonts w:hint="eastAsia" w:ascii="仿宋" w:hAnsi="仿宋" w:eastAsia="仿宋" w:cs="仿宋"/>
          <w:i w:val="0"/>
          <w:caps w:val="0"/>
          <w:color w:val="505050"/>
          <w:spacing w:val="0"/>
          <w:sz w:val="30"/>
          <w:szCs w:val="30"/>
          <w:u w:val="none"/>
          <w:shd w:val="clear" w:fill="FFFFFF"/>
          <w:vertAlign w:val="baseline"/>
        </w:rPr>
        <w:t>五、说明与附图附表（统计数据时间为2018年1月1日至2018年12月31日）</w:t>
      </w:r>
    </w:p>
    <w:tbl>
      <w:tblPr>
        <w:tblpPr w:leftFromText="180" w:rightFromText="180" w:vertAnchor="text" w:horzAnchor="page" w:tblpX="8" w:tblpY="1492"/>
        <w:tblOverlap w:val="never"/>
        <w:tblW w:w="12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335"/>
        <w:gridCol w:w="1620"/>
        <w:gridCol w:w="5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00" w:hRule="atLeast"/>
        </w:trPr>
        <w:tc>
          <w:tcPr>
            <w:tcW w:w="12445" w:type="dxa"/>
            <w:gridSpan w:val="3"/>
            <w:tcBorders>
              <w:top w:val="nil"/>
              <w:left w:val="nil"/>
              <w:bottom w:val="nil"/>
              <w:right w:val="nil"/>
            </w:tcBorders>
            <w:shd w:val="clear"/>
            <w:tcMar>
              <w:top w:w="12" w:type="dxa"/>
              <w:left w:w="12" w:type="dxa"/>
              <w:right w:w="12" w:type="dxa"/>
            </w:tcMar>
            <w:vAlign w:val="bottom"/>
          </w:tcPr>
          <w:p>
            <w:pPr>
              <w:keepNext w:val="0"/>
              <w:keepLines w:val="0"/>
              <w:widowControl/>
              <w:suppressLineNumbers w:val="0"/>
              <w:jc w:val="center"/>
              <w:textAlignment w:val="bottom"/>
              <w:rPr>
                <w:rFonts w:ascii="Arial" w:hAnsi="Arial" w:cs="Arial"/>
                <w:b/>
                <w:i w:val="0"/>
                <w:color w:val="FF8080"/>
                <w:sz w:val="24"/>
                <w:szCs w:val="24"/>
                <w:u w:val="none"/>
              </w:rPr>
            </w:pPr>
            <w:r>
              <w:rPr>
                <w:rFonts w:hint="default" w:ascii="Arial" w:hAnsi="Arial" w:eastAsia="宋体" w:cs="Arial"/>
                <w:b/>
                <w:i w:val="0"/>
                <w:color w:val="FF8080"/>
                <w:kern w:val="0"/>
                <w:sz w:val="24"/>
                <w:szCs w:val="24"/>
                <w:u w:val="none"/>
                <w:bdr w:val="none" w:color="auto" w:sz="0" w:space="0"/>
                <w:lang w:val="en-US" w:eastAsia="zh-CN" w:bidi="ar"/>
              </w:rPr>
              <w:t xml:space="preserve">     </w:t>
            </w:r>
            <w:r>
              <w:rPr>
                <w:rFonts w:hint="default" w:ascii="Arial" w:hAnsi="Arial" w:eastAsia="宋体" w:cs="Arial"/>
                <w:b/>
                <w:i w:val="0"/>
                <w:color w:val="auto"/>
                <w:kern w:val="0"/>
                <w:sz w:val="24"/>
                <w:szCs w:val="24"/>
                <w:u w:val="none"/>
                <w:bdr w:val="none" w:color="auto" w:sz="0" w:space="0"/>
                <w:lang w:val="en-US" w:eastAsia="zh-CN" w:bidi="ar"/>
              </w:rPr>
              <w:t xml:space="preserve">政府信息公开情况统计表 </w:t>
            </w:r>
            <w:r>
              <w:rPr>
                <w:rFonts w:hint="default" w:ascii="Arial" w:hAnsi="Arial" w:eastAsia="宋体" w:cs="Arial"/>
                <w:b/>
                <w:i w:val="0"/>
                <w:color w:val="auto"/>
                <w:kern w:val="0"/>
                <w:sz w:val="24"/>
                <w:szCs w:val="24"/>
                <w:u w:val="none"/>
                <w:bdr w:val="none" w:color="auto" w:sz="0" w:space="0"/>
                <w:lang w:val="en-US" w:eastAsia="zh-CN" w:bidi="ar"/>
              </w:rPr>
              <w:br w:type="textWrapping"/>
            </w:r>
            <w:r>
              <w:rPr>
                <w:rFonts w:hint="default" w:ascii="Arial" w:hAnsi="Arial" w:eastAsia="宋体" w:cs="Arial"/>
                <w:b/>
                <w:i w:val="0"/>
                <w:color w:val="auto"/>
                <w:kern w:val="0"/>
                <w:sz w:val="24"/>
                <w:szCs w:val="24"/>
                <w:u w:val="none"/>
                <w:bdr w:val="none" w:color="auto" w:sz="0" w:space="0"/>
                <w:lang w:val="en-US" w:eastAsia="zh-CN" w:bidi="ar"/>
              </w:rPr>
              <w:t>（2018年度）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5335" w:type="dxa"/>
            <w:tcBorders>
              <w:top w:val="nil"/>
              <w:left w:val="nil"/>
              <w:bottom w:val="nil"/>
              <w:right w:val="nil"/>
            </w:tcBorders>
            <w:shd w:val="clear"/>
            <w:noWrap/>
            <w:tcMar>
              <w:top w:w="12" w:type="dxa"/>
              <w:left w:w="12" w:type="dxa"/>
              <w:right w:w="12" w:type="dxa"/>
            </w:tcMar>
            <w:vAlign w:val="bottom"/>
          </w:tcPr>
          <w:p>
            <w:pPr>
              <w:rPr>
                <w:rFonts w:hint="default" w:ascii="Arial" w:hAnsi="Arial" w:cs="Arial"/>
                <w:i w:val="0"/>
                <w:color w:val="000000"/>
                <w:sz w:val="20"/>
                <w:szCs w:val="20"/>
                <w:u w:val="none"/>
              </w:rPr>
            </w:pPr>
          </w:p>
        </w:tc>
        <w:tc>
          <w:tcPr>
            <w:tcW w:w="1620" w:type="dxa"/>
            <w:tcBorders>
              <w:top w:val="nil"/>
              <w:left w:val="nil"/>
              <w:bottom w:val="nil"/>
              <w:right w:val="nil"/>
            </w:tcBorders>
            <w:shd w:val="clear" w:color="auto" w:fill="FFFFFF"/>
            <w:tcMar>
              <w:top w:w="12" w:type="dxa"/>
              <w:left w:w="12" w:type="dxa"/>
              <w:right w:w="12" w:type="dxa"/>
            </w:tcMar>
            <w:vAlign w:val="center"/>
          </w:tcPr>
          <w:p>
            <w:pPr>
              <w:jc w:val="center"/>
              <w:rPr>
                <w:rFonts w:hint="eastAsia" w:ascii="等线" w:hAnsi="等线" w:eastAsia="等线" w:cs="等线"/>
                <w:b/>
                <w:i w:val="0"/>
                <w:color w:val="000000"/>
                <w:sz w:val="36"/>
                <w:szCs w:val="36"/>
                <w:u w:val="none"/>
              </w:rPr>
            </w:pPr>
          </w:p>
        </w:tc>
        <w:tc>
          <w:tcPr>
            <w:tcW w:w="5490" w:type="dxa"/>
            <w:tcBorders>
              <w:top w:val="nil"/>
              <w:left w:val="nil"/>
              <w:bottom w:val="nil"/>
              <w:right w:val="nil"/>
            </w:tcBorders>
            <w:shd w:val="clear" w:color="auto" w:fill="FFFFFF"/>
            <w:tcMar>
              <w:top w:w="12" w:type="dxa"/>
              <w:left w:w="12" w:type="dxa"/>
              <w:right w:w="12" w:type="dxa"/>
            </w:tcMar>
            <w:vAlign w:val="center"/>
          </w:tcPr>
          <w:p>
            <w:pPr>
              <w:jc w:val="center"/>
              <w:rPr>
                <w:rFonts w:hint="default" w:ascii="等线" w:hAnsi="等线" w:eastAsia="等线" w:cs="等线"/>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5335" w:type="dxa"/>
            <w:tcBorders>
              <w:top w:val="nil"/>
              <w:left w:val="nil"/>
              <w:bottom w:val="nil"/>
              <w:right w:val="nil"/>
            </w:tcBorders>
            <w:shd w:val="clear"/>
            <w:noWrap/>
            <w:tcMar>
              <w:top w:w="12" w:type="dxa"/>
              <w:left w:w="12" w:type="dxa"/>
              <w:right w:w="12" w:type="dxa"/>
            </w:tcMar>
            <w:vAlign w:val="bottom"/>
          </w:tcPr>
          <w:p>
            <w:pPr>
              <w:rPr>
                <w:rFonts w:hint="default" w:ascii="Arial" w:hAnsi="Arial" w:cs="Arial"/>
                <w:i w:val="0"/>
                <w:color w:val="000000"/>
                <w:sz w:val="20"/>
                <w:szCs w:val="20"/>
                <w:u w:val="none"/>
              </w:rPr>
            </w:pPr>
          </w:p>
        </w:tc>
        <w:tc>
          <w:tcPr>
            <w:tcW w:w="1620" w:type="dxa"/>
            <w:tcBorders>
              <w:top w:val="nil"/>
              <w:left w:val="nil"/>
              <w:bottom w:val="nil"/>
              <w:right w:val="nil"/>
            </w:tcBorders>
            <w:shd w:val="clear" w:color="auto" w:fill="FFFFFF"/>
            <w:tcMar>
              <w:top w:w="12" w:type="dxa"/>
              <w:left w:w="12" w:type="dxa"/>
              <w:right w:w="12" w:type="dxa"/>
            </w:tcMar>
            <w:vAlign w:val="center"/>
          </w:tcPr>
          <w:p>
            <w:pPr>
              <w:jc w:val="center"/>
              <w:rPr>
                <w:rFonts w:hint="default" w:ascii="等线" w:hAnsi="等线" w:eastAsia="等线" w:cs="等线"/>
                <w:b/>
                <w:i w:val="0"/>
                <w:color w:val="000000"/>
                <w:sz w:val="36"/>
                <w:szCs w:val="36"/>
                <w:u w:val="none"/>
              </w:rPr>
            </w:pPr>
          </w:p>
        </w:tc>
        <w:tc>
          <w:tcPr>
            <w:tcW w:w="5490" w:type="dxa"/>
            <w:tcBorders>
              <w:top w:val="nil"/>
              <w:left w:val="nil"/>
              <w:bottom w:val="nil"/>
              <w:right w:val="nil"/>
            </w:tcBorders>
            <w:shd w:val="clear" w:color="auto" w:fill="FFFFFF"/>
            <w:tcMar>
              <w:top w:w="12" w:type="dxa"/>
              <w:left w:w="12" w:type="dxa"/>
              <w:right w:w="12" w:type="dxa"/>
            </w:tcMar>
            <w:vAlign w:val="center"/>
          </w:tcPr>
          <w:p>
            <w:pPr>
              <w:jc w:val="center"/>
              <w:rPr>
                <w:rFonts w:hint="default" w:ascii="等线" w:hAnsi="等线" w:eastAsia="等线" w:cs="等线"/>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5335" w:type="dxa"/>
            <w:tcBorders>
              <w:top w:val="nil"/>
              <w:left w:val="nil"/>
              <w:bottom w:val="nil"/>
              <w:right w:val="nil"/>
            </w:tcBorders>
            <w:shd w:val="clear"/>
            <w:noWrap/>
            <w:tcMar>
              <w:top w:w="12" w:type="dxa"/>
              <w:left w:w="12" w:type="dxa"/>
              <w:right w:w="12" w:type="dxa"/>
            </w:tcMar>
            <w:vAlign w:val="bottom"/>
          </w:tcPr>
          <w:p>
            <w:pPr>
              <w:rPr>
                <w:rFonts w:hint="default" w:ascii="Arial" w:hAnsi="Arial" w:cs="Arial"/>
                <w:i w:val="0"/>
                <w:color w:val="000000"/>
                <w:sz w:val="20"/>
                <w:szCs w:val="20"/>
                <w:u w:val="none"/>
              </w:rPr>
            </w:pPr>
          </w:p>
        </w:tc>
        <w:tc>
          <w:tcPr>
            <w:tcW w:w="1620" w:type="dxa"/>
            <w:tcBorders>
              <w:top w:val="nil"/>
              <w:left w:val="nil"/>
              <w:bottom w:val="nil"/>
              <w:right w:val="nil"/>
            </w:tcBorders>
            <w:shd w:val="clear" w:color="auto" w:fill="FFFFFF"/>
            <w:noWrap/>
            <w:tcMar>
              <w:top w:w="12" w:type="dxa"/>
              <w:left w:w="12" w:type="dxa"/>
              <w:right w:w="12" w:type="dxa"/>
            </w:tcMar>
            <w:vAlign w:val="center"/>
          </w:tcPr>
          <w:p>
            <w:pPr>
              <w:jc w:val="center"/>
              <w:rPr>
                <w:rFonts w:hint="default" w:ascii="Arial" w:hAnsi="Arial" w:cs="Arial"/>
                <w:i w:val="0"/>
                <w:color w:val="000000"/>
                <w:sz w:val="20"/>
                <w:szCs w:val="20"/>
                <w:u w:val="none"/>
              </w:rPr>
            </w:pPr>
          </w:p>
        </w:tc>
        <w:tc>
          <w:tcPr>
            <w:tcW w:w="5490" w:type="dxa"/>
            <w:tcBorders>
              <w:top w:val="nil"/>
              <w:left w:val="nil"/>
              <w:bottom w:val="nil"/>
              <w:right w:val="nil"/>
            </w:tcBorders>
            <w:shd w:val="clear" w:color="auto" w:fill="FFFFFF"/>
            <w:tcMar>
              <w:top w:w="12" w:type="dxa"/>
              <w:left w:w="12" w:type="dxa"/>
              <w:right w:w="12" w:type="dxa"/>
            </w:tcMar>
            <w:vAlign w:val="center"/>
          </w:tcPr>
          <w:p>
            <w:pPr>
              <w:jc w:val="center"/>
              <w:rPr>
                <w:rFonts w:hint="default" w:ascii="等线" w:hAnsi="等线" w:eastAsia="等线" w:cs="等线"/>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5335" w:type="dxa"/>
            <w:tcBorders>
              <w:top w:val="nil"/>
              <w:left w:val="nil"/>
              <w:bottom w:val="nil"/>
              <w:right w:val="nil"/>
            </w:tcBorders>
            <w:shd w:val="clear"/>
            <w:noWrap/>
            <w:tcMar>
              <w:top w:w="12" w:type="dxa"/>
              <w:left w:w="12" w:type="dxa"/>
              <w:right w:w="12" w:type="dxa"/>
            </w:tcMar>
            <w:vAlign w:val="bottom"/>
          </w:tcPr>
          <w:p>
            <w:pPr>
              <w:rPr>
                <w:rFonts w:hint="default" w:ascii="Arial" w:hAnsi="Arial" w:cs="Arial"/>
                <w:i w:val="0"/>
                <w:color w:val="000000"/>
                <w:sz w:val="20"/>
                <w:szCs w:val="20"/>
                <w:u w:val="none"/>
              </w:rPr>
            </w:pPr>
          </w:p>
        </w:tc>
        <w:tc>
          <w:tcPr>
            <w:tcW w:w="1620" w:type="dxa"/>
            <w:tcBorders>
              <w:top w:val="nil"/>
              <w:left w:val="nil"/>
              <w:bottom w:val="nil"/>
              <w:right w:val="nil"/>
            </w:tcBorders>
            <w:shd w:val="clear" w:color="auto" w:fill="FFFFFF"/>
            <w:tcMar>
              <w:top w:w="12" w:type="dxa"/>
              <w:left w:w="12" w:type="dxa"/>
              <w:right w:w="12" w:type="dxa"/>
            </w:tcMar>
            <w:vAlign w:val="center"/>
          </w:tcPr>
          <w:p>
            <w:pPr>
              <w:jc w:val="center"/>
              <w:rPr>
                <w:rFonts w:hint="default" w:ascii="等线" w:hAnsi="等线" w:eastAsia="等线" w:cs="等线"/>
                <w:b/>
                <w:i w:val="0"/>
                <w:color w:val="000000"/>
                <w:sz w:val="36"/>
                <w:szCs w:val="36"/>
                <w:u w:val="none"/>
              </w:rPr>
            </w:pPr>
          </w:p>
        </w:tc>
        <w:tc>
          <w:tcPr>
            <w:tcW w:w="5490" w:type="dxa"/>
            <w:tcBorders>
              <w:top w:val="nil"/>
              <w:left w:val="nil"/>
              <w:bottom w:val="nil"/>
              <w:right w:val="nil"/>
            </w:tcBorders>
            <w:shd w:val="clear" w:color="auto" w:fill="FFFFFF"/>
            <w:tcMar>
              <w:top w:w="12" w:type="dxa"/>
              <w:left w:w="12" w:type="dxa"/>
              <w:right w:w="12" w:type="dxa"/>
            </w:tcMar>
            <w:vAlign w:val="center"/>
          </w:tcPr>
          <w:p>
            <w:pPr>
              <w:jc w:val="center"/>
              <w:rPr>
                <w:rFonts w:hint="default" w:ascii="等线" w:hAnsi="等线" w:eastAsia="等线" w:cs="等线"/>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4" w:hRule="atLeast"/>
        </w:trPr>
        <w:tc>
          <w:tcPr>
            <w:tcW w:w="5335" w:type="dxa"/>
            <w:tcBorders>
              <w:top w:val="nil"/>
              <w:left w:val="nil"/>
              <w:bottom w:val="nil"/>
              <w:right w:val="nil"/>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填报单位（盖章）：</w:t>
            </w:r>
          </w:p>
        </w:tc>
        <w:tc>
          <w:tcPr>
            <w:tcW w:w="1620" w:type="dxa"/>
            <w:tcBorders>
              <w:top w:val="nil"/>
              <w:left w:val="nil"/>
              <w:bottom w:val="nil"/>
              <w:right w:val="nil"/>
            </w:tcBorders>
            <w:shd w:val="clear" w:color="auto" w:fill="FFFFFF"/>
            <w:noWrap/>
            <w:tcMar>
              <w:top w:w="12" w:type="dxa"/>
              <w:left w:w="12" w:type="dxa"/>
              <w:right w:w="12" w:type="dxa"/>
            </w:tcMar>
            <w:vAlign w:val="center"/>
          </w:tcPr>
          <w:p>
            <w:pPr>
              <w:jc w:val="center"/>
              <w:rPr>
                <w:rFonts w:hint="default" w:ascii="Arial" w:hAnsi="Arial" w:cs="Arial"/>
                <w:i w:val="0"/>
                <w:color w:val="000000"/>
                <w:sz w:val="20"/>
                <w:szCs w:val="20"/>
                <w:u w:val="none"/>
              </w:rPr>
            </w:pPr>
          </w:p>
        </w:tc>
        <w:tc>
          <w:tcPr>
            <w:tcW w:w="5490" w:type="dxa"/>
            <w:tcBorders>
              <w:top w:val="nil"/>
              <w:left w:val="nil"/>
              <w:bottom w:val="nil"/>
              <w:right w:val="nil"/>
            </w:tcBorders>
            <w:shd w:val="clear" w:color="auto" w:fill="FFFFFF"/>
            <w:noWrap/>
            <w:tcMar>
              <w:top w:w="12" w:type="dxa"/>
              <w:left w:w="12" w:type="dxa"/>
              <w:right w:w="12"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统 计 指 标</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等线" w:hAnsi="等线" w:eastAsia="等线" w:cs="等线"/>
                <w:b/>
                <w:i w:val="0"/>
                <w:color w:val="000000"/>
                <w:sz w:val="22"/>
                <w:szCs w:val="22"/>
                <w:u w:val="none"/>
              </w:rPr>
            </w:pPr>
            <w:r>
              <w:rPr>
                <w:rFonts w:hint="default" w:ascii="等线" w:hAnsi="等线" w:eastAsia="等线" w:cs="等线"/>
                <w:b/>
                <w:i w:val="0"/>
                <w:color w:val="000000"/>
                <w:kern w:val="0"/>
                <w:sz w:val="22"/>
                <w:szCs w:val="22"/>
                <w:u w:val="none"/>
                <w:bdr w:val="none" w:color="auto" w:sz="0" w:space="0"/>
                <w:lang w:val="en-US" w:eastAsia="zh-CN" w:bidi="ar"/>
              </w:rPr>
              <w:t>单位</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一、主动公开情况</w:t>
            </w:r>
          </w:p>
        </w:tc>
        <w:tc>
          <w:tcPr>
            <w:tcW w:w="1620" w:type="dxa"/>
            <w:tcBorders>
              <w:top w:val="nil"/>
              <w:left w:val="nil"/>
              <w:bottom w:val="nil"/>
              <w:right w:val="nil"/>
            </w:tcBorders>
            <w:shd w:val="clear" w:color="auto" w:fill="FFFFFF"/>
            <w:noWrap/>
            <w:tcMar>
              <w:top w:w="12" w:type="dxa"/>
              <w:left w:w="12" w:type="dxa"/>
              <w:right w:w="12" w:type="dxa"/>
            </w:tcMar>
            <w:vAlign w:val="center"/>
          </w:tcPr>
          <w:p>
            <w:pPr>
              <w:jc w:val="center"/>
              <w:rPr>
                <w:rFonts w:hint="default" w:ascii="Arial" w:hAnsi="Arial" w:cs="Arial"/>
                <w:i w:val="0"/>
                <w:color w:val="000000"/>
                <w:sz w:val="20"/>
                <w:szCs w:val="20"/>
                <w:u w:val="none"/>
              </w:rPr>
            </w:pP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（一）主动公开政府信息数（不同渠道和方式公开相同信息计1条）</w:t>
            </w:r>
            <w:bookmarkStart w:id="0" w:name="_GoBack"/>
            <w:bookmarkEnd w:id="0"/>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其中：主动公开规范性文件数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制发规范性文件总数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（二）重点领域公开政府信息数（不同渠道和方式公开相同信息计1条）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其中：主动公开财政预算决算、“三公经费”和行政经费信息数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主动公开保障性安居工程建设计划、项目开工和竣工情况，保障性住房的分配和退出等信息数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主动公开食品安全标准，食品生产经营许可、专项检查整治等信息数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主动公开环境核查审批、环境状况公报和重特大突发环境事件等信息数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主动公开招投标违法违规行为及处理情况、国有资金占控股或者主导地位依法应当招标的项目等信息数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主动公开生产安全事故的政府举措、处置进展、风险预警、防范措施等信息数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主动公开农用地转为建设用地批准、征收集体土地批准、征地公告征地补偿安置公示、集体土地征收结案等信息数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主动公开政府指导价、政府定价和收费标准调整的项目、价格、依据、执行时间和范围等信息数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主动公开本市企业信用信息系统中的警示信息和良好信息等信息数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主动公开政府部门预算执行审计结果等信息数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主动公开行政机关对与人民群众利益密切相关的公共企事业单位进行监督管理的信息数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主动公开市人民政府决定主动公开的其他信息数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（三）通过不同渠道和方式公开政府信息的情况</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Arial" w:hAnsi="Arial" w:cs="Arial"/>
                <w:i w:val="0"/>
                <w:color w:val="000000"/>
                <w:sz w:val="20"/>
                <w:szCs w:val="20"/>
                <w:u w:val="none"/>
              </w:rPr>
            </w:pP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1.政府公报公开政府信息数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2.政府网站公开政府信息数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3.政务微博公开政府信息数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4.政务微信公开政府信息数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5.其他方式公开政府信息数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二、回应解读情况</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Arial" w:hAnsi="Arial" w:cs="Arial"/>
                <w:i w:val="0"/>
                <w:color w:val="000000"/>
                <w:sz w:val="20"/>
                <w:szCs w:val="20"/>
                <w:u w:val="none"/>
              </w:rPr>
            </w:pP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（一）回应公众关注热点或重大舆情数（不同方式回应同一热点或舆情计1次）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（二）通过不同渠道和方式回应解读的情况</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Arial" w:hAnsi="Arial" w:cs="Arial"/>
                <w:i w:val="0"/>
                <w:color w:val="000000"/>
                <w:sz w:val="20"/>
                <w:szCs w:val="20"/>
                <w:u w:val="none"/>
              </w:rPr>
            </w:pP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1.参加或举办新闻发布会总次数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其中：主要负责同志参加新闻发布会次数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2.政府网站在线访谈次数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其中：主要负责同志参加政府网站在线访谈次数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3.政策解读稿件发布数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篇</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4.微博微信回应事件数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5.其他方式回应事件数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三、依申请公开情况</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Arial" w:hAnsi="Arial" w:cs="Arial"/>
                <w:i w:val="0"/>
                <w:color w:val="000000"/>
                <w:sz w:val="20"/>
                <w:szCs w:val="20"/>
                <w:u w:val="none"/>
              </w:rPr>
            </w:pP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（一）收到申请数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1.当面申请数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2.传真申请数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3.网络申请数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4.信函申请数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（二）申请办结数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1.按时办结数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2.延期办结数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（三）申请答复数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1.属于已主动公开范围数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2.同意公开答复数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3.同意部分公开答复数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4.不同意公开答复数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其中：涉及国家秘密</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涉及商业秘密</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涉及个人隐私</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危及国家安全、公共安全、经济安全和社会稳定</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不是《条例》所指政府信息</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法律法规规定的其他情形</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5.不属于本行政机关公开数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6.申请信息不存在数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7.告知作出更改补充数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8.告知通过其他途径办理数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四、行政复议数量</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（一）维持具体行政行为数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（二）被依法纠错数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（三）其他情形数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五、行政诉讼数量</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（一）维持具体行政行为或者驳回原告诉讼请求数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（二）被依法纠错数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（三）其他情形数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六、举报投诉数量</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件</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七、依申请公开信息收取的费用</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元</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八、机构建设和保障经费情况</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Arial" w:hAnsi="Arial" w:cs="Arial"/>
                <w:i w:val="0"/>
                <w:color w:val="000000"/>
                <w:sz w:val="20"/>
                <w:szCs w:val="20"/>
                <w:u w:val="none"/>
              </w:rPr>
            </w:pP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（一）政府信息公开工作专门机构数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个</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（二）设置政府信息公开查阅点数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个</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（三）从事政府信息公开工作人员数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人</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1.专职人员数（不包括政府公报及政府网站工作人员数）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人</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2.兼职人员数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人</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（四）政府信息公开专项经费（不包括用于政府公报编辑管理及政府网站建设维护等方面的经费）</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元</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九、政府信息公开会议和培训情况</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Arial" w:hAnsi="Arial" w:cs="Arial"/>
                <w:i w:val="0"/>
                <w:color w:val="000000"/>
                <w:sz w:val="20"/>
                <w:szCs w:val="20"/>
                <w:u w:val="none"/>
              </w:rPr>
            </w:pP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（一）召开政府信息公开工作会议或专题会议数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（二）举办各类培训班数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533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   （三）接受培训人员数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人次</w:t>
            </w:r>
          </w:p>
        </w:tc>
        <w:tc>
          <w:tcPr>
            <w:tcW w:w="549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D4BB3"/>
    <w:rsid w:val="5EED4BB3"/>
    <w:rsid w:val="65A26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2019-12-19T05:54:00Z</dcterms:created>
  <dc:creator>cs20190731</dc:creator>
  <cp:lastModifiedBy>cs20190731</cp:lastModifiedBy>
  <dcterms:modified xsi:type="dcterms:W3CDTF">2019-12-19T06:37:50Z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