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附表：</w:t>
      </w:r>
    </w:p>
    <w:tbl>
      <w:tblPr>
        <w:tblStyle w:val="3"/>
        <w:tblW w:w="9555" w:type="dxa"/>
        <w:jc w:val="center"/>
        <w:tblInd w:w="0"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w:t>
            </w:r>
            <w:r>
              <w:rPr>
                <w:rFonts w:ascii="楷体_GB2312" w:hAnsi="宋体" w:eastAsia="楷体_GB2312" w:cs="楷体_GB2312"/>
                <w:kern w:val="0"/>
                <w:sz w:val="32"/>
                <w:szCs w:val="32"/>
              </w:rPr>
              <w:t xml:space="preserve">    2018    </w:t>
            </w:r>
            <w:r>
              <w:rPr>
                <w:rFonts w:hint="eastAsia" w:ascii="楷体_GB2312" w:hAnsi="宋体" w:eastAsia="楷体_GB2312" w:cs="楷体_GB2312"/>
                <w:kern w:val="0"/>
                <w:sz w:val="32"/>
                <w:szCs w:val="32"/>
              </w:rPr>
              <w:t>年度）</w:t>
            </w:r>
          </w:p>
        </w:tc>
      </w:tr>
      <w:tr>
        <w:tblPrEx>
          <w:tblLayout w:type="fixed"/>
          <w:tblCellMar>
            <w:top w:w="0" w:type="dxa"/>
            <w:left w:w="108" w:type="dxa"/>
            <w:bottom w:w="0" w:type="dxa"/>
            <w:right w:w="108" w:type="dxa"/>
          </w:tblCellMar>
        </w:tblPrEx>
        <w:trPr>
          <w:trHeight w:val="399" w:hRule="atLeast"/>
          <w:jc w:val="center"/>
        </w:trPr>
        <w:tc>
          <w:tcPr>
            <w:tcW w:w="9555" w:type="dxa"/>
            <w:gridSpan w:val="3"/>
            <w:tcBorders>
              <w:top w:val="nil"/>
              <w:left w:val="nil"/>
              <w:bottom w:val="nil"/>
              <w:right w:val="nil"/>
            </w:tcBorders>
            <w:shd w:val="clear" w:color="FFFFFF" w:fill="auto"/>
            <w:vAlign w:val="center"/>
          </w:tcPr>
          <w:p>
            <w:pPr>
              <w:widowControl/>
              <w:jc w:val="left"/>
              <w:rPr>
                <w:rFonts w:hint="eastAsia" w:ascii="楷体_GB2312" w:hAnsi="宋体" w:eastAsia="楷体_GB2312" w:cs="楷体_GB2312"/>
                <w:kern w:val="0"/>
                <w:sz w:val="32"/>
                <w:szCs w:val="32"/>
                <w:lang w:eastAsia="zh-CN"/>
              </w:rPr>
            </w:pPr>
            <w:r>
              <w:rPr>
                <w:rFonts w:hint="eastAsia" w:ascii="仿宋_GB2312" w:hAnsi="宋体" w:eastAsia="仿宋_GB2312" w:cs="仿宋_GB2312"/>
                <w:kern w:val="0"/>
                <w:sz w:val="24"/>
                <w:szCs w:val="24"/>
                <w:lang w:eastAsia="zh-CN"/>
              </w:rPr>
              <w:t>填报单位（盖章）：金融街街道办事处</w:t>
            </w:r>
            <w:bookmarkStart w:id="0" w:name="_GoBack"/>
            <w:bookmarkEnd w:id="0"/>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Times New Roman"/>
                <w:kern w:val="0"/>
                <w:sz w:val="24"/>
                <w:szCs w:val="24"/>
              </w:rPr>
            </w:pPr>
            <w:r>
              <w:rPr>
                <w:rFonts w:hint="eastAsia" w:ascii="黑体" w:hAnsi="宋体" w:eastAsia="黑体" w:cs="黑体"/>
                <w:kern w:val="0"/>
                <w:sz w:val="24"/>
                <w:szCs w:val="24"/>
              </w:rPr>
              <w:t>统</w:t>
            </w:r>
            <w:r>
              <w:rPr>
                <w:rFonts w:ascii="黑体" w:hAnsi="宋体" w:eastAsia="黑体" w:cs="黑体"/>
                <w:kern w:val="0"/>
                <w:sz w:val="24"/>
                <w:szCs w:val="24"/>
              </w:rPr>
              <w:t xml:space="preserve"> </w:t>
            </w:r>
            <w:r>
              <w:rPr>
                <w:rFonts w:hint="eastAsia" w:ascii="黑体" w:hAnsi="宋体" w:eastAsia="黑体" w:cs="黑体"/>
                <w:kern w:val="0"/>
                <w:sz w:val="24"/>
                <w:szCs w:val="24"/>
              </w:rPr>
              <w:t>计</w:t>
            </w:r>
            <w:r>
              <w:rPr>
                <w:rFonts w:ascii="黑体" w:hAnsi="宋体" w:eastAsia="黑体" w:cs="黑体"/>
                <w:kern w:val="0"/>
                <w:sz w:val="24"/>
                <w:szCs w:val="24"/>
              </w:rPr>
              <w:t xml:space="preserve"> </w:t>
            </w:r>
            <w:r>
              <w:rPr>
                <w:rFonts w:hint="eastAsia" w:ascii="黑体" w:hAnsi="宋体" w:eastAsia="黑体" w:cs="黑体"/>
                <w:kern w:val="0"/>
                <w:sz w:val="24"/>
                <w:szCs w:val="24"/>
              </w:rPr>
              <w:t>指</w:t>
            </w:r>
            <w:r>
              <w:rPr>
                <w:rFonts w:ascii="黑体" w:hAnsi="宋体" w:eastAsia="黑体" w:cs="黑体"/>
                <w:kern w:val="0"/>
                <w:sz w:val="24"/>
                <w:szCs w:val="24"/>
              </w:rPr>
              <w:t xml:space="preserve"> </w:t>
            </w:r>
            <w:r>
              <w:rPr>
                <w:rFonts w:hint="eastAsia" w:ascii="黑体" w:hAnsi="宋体" w:eastAsia="黑体" w:cs="黑体"/>
                <w:kern w:val="0"/>
                <w:sz w:val="24"/>
                <w:szCs w:val="24"/>
              </w:rPr>
              <w:t>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Times New Roman"/>
                <w:kern w:val="0"/>
                <w:sz w:val="24"/>
                <w:szCs w:val="24"/>
              </w:rPr>
            </w:pPr>
            <w:r>
              <w:rPr>
                <w:rFonts w:hint="eastAsia" w:ascii="黑体" w:hAnsi="宋体" w:eastAsia="黑体" w:cs="黑体"/>
                <w:kern w:val="0"/>
                <w:sz w:val="24"/>
                <w:szCs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Times New Roman"/>
                <w:kern w:val="0"/>
                <w:sz w:val="24"/>
                <w:szCs w:val="24"/>
              </w:rPr>
            </w:pPr>
            <w:r>
              <w:rPr>
                <w:rFonts w:hint="eastAsia" w:ascii="黑体" w:hAnsi="宋体" w:eastAsia="黑体" w:cs="黑体"/>
                <w:kern w:val="0"/>
                <w:sz w:val="24"/>
                <w:szCs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kern w:val="0"/>
                <w:sz w:val="24"/>
                <w:szCs w:val="24"/>
              </w:rPr>
            </w:pPr>
          </w:p>
        </w:tc>
        <w:tc>
          <w:tcPr>
            <w:tcW w:w="1080" w:type="dxa"/>
            <w:tcBorders>
              <w:top w:val="nil"/>
              <w:left w:val="nil"/>
              <w:bottom w:val="single" w:color="auto" w:sz="4" w:space="0"/>
              <w:right w:val="single" w:color="auto" w:sz="8" w:space="0"/>
            </w:tcBorders>
            <w:vAlign w:val="center"/>
          </w:tcPr>
          <w:p>
            <w:pPr>
              <w:widowControl/>
              <w:jc w:val="left"/>
              <w:rPr>
                <w:rFonts w:ascii="宋体" w:cs="Times New Roman"/>
                <w:kern w:val="0"/>
                <w:sz w:val="24"/>
                <w:szCs w:val="24"/>
              </w:rPr>
            </w:pPr>
            <w:r>
              <w:rPr>
                <w:rFonts w:hint="eastAsia" w:ascii="宋体" w:cs="宋体"/>
                <w:kern w:val="0"/>
                <w:sz w:val="24"/>
                <w:szCs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（一）主动公开政府信息数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（不同渠道和方式公开相同信息计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8</w:t>
            </w:r>
            <w:r>
              <w:rPr>
                <w:rFonts w:hint="eastAsia" w:ascii="仿宋_GB2312" w:hAnsi="宋体" w:eastAsia="仿宋_GB2312" w:cs="仿宋_GB2312"/>
                <w:kern w:val="0"/>
                <w:sz w:val="24"/>
                <w:szCs w:val="24"/>
                <w:lang w:val="en-US" w:eastAsia="zh-CN"/>
              </w:rPr>
              <w:t>86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（二）重点领域公开政府信息数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（不同渠道和方式公开相同信息计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其中：主动公开财政预算决算、“三公经费”和行政经费信息数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Times New Roman"/>
                <w:kern w:val="0"/>
                <w:sz w:val="24"/>
                <w:szCs w:val="24"/>
              </w:rPr>
            </w:pP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37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lang w:val="en-US" w:eastAsia="zh-CN"/>
              </w:rPr>
              <w:t>40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546</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kern w:val="0"/>
                <w:sz w:val="24"/>
                <w:szCs w:val="24"/>
              </w:rPr>
            </w:pPr>
            <w:r>
              <w:rPr>
                <w:rFonts w:hint="eastAsia" w:ascii="宋体" w:cs="宋体"/>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（一）回应公众关注热点或重大舆情数</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（不同方式回应同一热点或舆情计</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Times New Roman"/>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篇</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kern w:val="0"/>
                <w:sz w:val="24"/>
                <w:szCs w:val="24"/>
              </w:rPr>
            </w:pPr>
            <w:r>
              <w:rPr>
                <w:rFonts w:hint="eastAsia" w:ascii="宋体" w:cs="宋体"/>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（一）收到申请数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当面申请数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传真申请数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网络申请数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信函申请数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（二）申请办结数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按时办结数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延期办结数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（三）申请答复数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3.</w:t>
            </w:r>
            <w:r>
              <w:rPr>
                <w:rFonts w:hint="eastAsia" w:ascii="仿宋_GB2312" w:hAnsi="宋体" w:eastAsia="仿宋_GB2312" w:cs="仿宋_GB2312"/>
                <w:kern w:val="0"/>
                <w:sz w:val="24"/>
                <w:szCs w:val="24"/>
              </w:rPr>
              <w:t>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4.</w:t>
            </w:r>
            <w:r>
              <w:rPr>
                <w:rFonts w:hint="eastAsia" w:ascii="仿宋_GB2312" w:hAnsi="宋体" w:eastAsia="仿宋_GB2312" w:cs="仿宋_GB2312"/>
                <w:kern w:val="0"/>
                <w:sz w:val="24"/>
                <w:szCs w:val="24"/>
              </w:rPr>
              <w:t>不同意公开答复数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5.</w:t>
            </w:r>
            <w:r>
              <w:rPr>
                <w:rFonts w:hint="eastAsia" w:ascii="仿宋_GB2312" w:hAnsi="宋体" w:eastAsia="仿宋_GB2312" w:cs="仿宋_GB2312"/>
                <w:kern w:val="0"/>
                <w:sz w:val="24"/>
                <w:szCs w:val="24"/>
              </w:rPr>
              <w:t>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6.</w:t>
            </w:r>
            <w:r>
              <w:rPr>
                <w:rFonts w:hint="eastAsia" w:ascii="仿宋_GB2312" w:hAnsi="宋体" w:eastAsia="仿宋_GB2312" w:cs="仿宋_GB2312"/>
                <w:kern w:val="0"/>
                <w:sz w:val="24"/>
                <w:szCs w:val="24"/>
              </w:rPr>
              <w:t>申请信息不存在数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7.</w:t>
            </w:r>
            <w:r>
              <w:rPr>
                <w:rFonts w:hint="eastAsia" w:ascii="仿宋_GB2312" w:hAnsi="宋体" w:eastAsia="仿宋_GB2312" w:cs="仿宋_GB2312"/>
                <w:kern w:val="0"/>
                <w:sz w:val="24"/>
                <w:szCs w:val="24"/>
              </w:rPr>
              <w:t>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8.</w:t>
            </w:r>
            <w:r>
              <w:rPr>
                <w:rFonts w:hint="eastAsia" w:ascii="仿宋_GB2312" w:hAnsi="宋体" w:eastAsia="仿宋_GB2312" w:cs="仿宋_GB2312"/>
                <w:kern w:val="0"/>
                <w:sz w:val="24"/>
                <w:szCs w:val="24"/>
              </w:rPr>
              <w:t>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（二）被依法纠错数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（三）其他情形数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（二）被依法纠错数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kern w:val="0"/>
                <w:sz w:val="24"/>
                <w:szCs w:val="24"/>
              </w:rPr>
            </w:pPr>
            <w:r>
              <w:rPr>
                <w:rFonts w:hint="eastAsia" w:ascii="宋体" w:cs="宋体"/>
                <w:kern w:val="0"/>
                <w:sz w:val="24"/>
                <w:szCs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个</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4</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1.</w:t>
            </w:r>
            <w:r>
              <w:rPr>
                <w:rFonts w:hint="eastAsia" w:ascii="仿宋_GB2312" w:hAnsi="宋体" w:eastAsia="仿宋_GB2312" w:cs="仿宋_GB2312"/>
                <w:kern w:val="0"/>
                <w:sz w:val="24"/>
                <w:szCs w:val="24"/>
              </w:rPr>
              <w:t>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2.</w:t>
            </w:r>
            <w:r>
              <w:rPr>
                <w:rFonts w:hint="eastAsia" w:ascii="仿宋_GB2312" w:hAnsi="宋体" w:eastAsia="仿宋_GB2312" w:cs="仿宋_GB2312"/>
                <w:kern w:val="0"/>
                <w:sz w:val="24"/>
                <w:szCs w:val="24"/>
              </w:rPr>
              <w:t>兼职人员数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4</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万元</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Times New Roman"/>
                <w:kern w:val="0"/>
                <w:sz w:val="24"/>
                <w:szCs w:val="24"/>
              </w:rPr>
            </w:pPr>
            <w:r>
              <w:rPr>
                <w:rFonts w:hint="eastAsia" w:ascii="黑体" w:hAnsi="宋体" w:eastAsia="黑体" w:cs="黑体"/>
                <w:kern w:val="0"/>
                <w:sz w:val="24"/>
                <w:szCs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cs="Times New Roman"/>
                <w:kern w:val="0"/>
                <w:sz w:val="24"/>
                <w:szCs w:val="24"/>
              </w:rPr>
            </w:pPr>
          </w:p>
        </w:tc>
        <w:tc>
          <w:tcPr>
            <w:tcW w:w="1080" w:type="dxa"/>
            <w:tcBorders>
              <w:top w:val="nil"/>
              <w:left w:val="nil"/>
              <w:bottom w:val="single" w:color="auto" w:sz="4" w:space="0"/>
              <w:right w:val="single" w:color="auto" w:sz="8"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Times New Roman"/>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（三）接受培训人员数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人次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粗宋简体">
    <w:altName w:val="宋体"/>
    <w:panose1 w:val="03000509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F7B3D"/>
    <w:rsid w:val="0E3F7B3D"/>
    <w:rsid w:val="6D44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金融街街道办事处</Company>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2019-03-18T01:10:00Z</dcterms:created>
  <dc:creator>admin</dc:creator>
  <cp:lastModifiedBy>admin</cp:lastModifiedBy>
  <dcterms:modified xsi:type="dcterms:W3CDTF">2019-03-18T01:56:22Z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