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75" w:beforeAutospacing="0" w:after="75" w:afterAutospacing="0"/>
        <w:ind w:left="0" w:right="0" w:firstLine="0"/>
        <w:jc w:val="center"/>
        <w:rPr>
          <w:rFonts w:hint="eastAsia" w:ascii="宋体" w:hAnsi="宋体" w:eastAsia="宋体" w:cs="宋体"/>
          <w:b/>
          <w:bCs/>
          <w:i w:val="0"/>
          <w:iCs w:val="0"/>
          <w:caps w:val="0"/>
          <w:color w:val="000000"/>
          <w:spacing w:val="0"/>
          <w:sz w:val="36"/>
          <w:szCs w:val="36"/>
        </w:rPr>
      </w:pPr>
      <w:r>
        <w:rPr>
          <w:rFonts w:hint="eastAsia" w:ascii="宋体" w:hAnsi="宋体" w:eastAsia="宋体" w:cs="宋体"/>
          <w:b/>
          <w:bCs/>
          <w:i w:val="0"/>
          <w:iCs w:val="0"/>
          <w:caps w:val="0"/>
          <w:color w:val="000000"/>
          <w:spacing w:val="0"/>
          <w:sz w:val="36"/>
          <w:szCs w:val="36"/>
        </w:rPr>
        <w:t>西城区天桥街道2018年政府信息公开工作年度报告</w:t>
      </w:r>
    </w:p>
    <w:p>
      <w:pPr>
        <w:pStyle w:val="2"/>
        <w:keepNext w:val="0"/>
        <w:keepLines w:val="0"/>
        <w:widowControl/>
        <w:suppressLineNumbers w:val="0"/>
        <w:spacing w:before="75" w:beforeAutospacing="0" w:after="75" w:afterAutospacing="0"/>
        <w:ind w:left="0" w:right="0" w:firstLine="0"/>
        <w:jc w:val="center"/>
        <w:rPr>
          <w:rFonts w:hint="default" w:ascii="宋体" w:hAnsi="宋体" w:eastAsia="宋体" w:cs="宋体"/>
          <w:b/>
          <w:bCs/>
          <w:i w:val="0"/>
          <w:iCs w:val="0"/>
          <w:caps w:val="0"/>
          <w:color w:val="000000"/>
          <w:spacing w:val="0"/>
          <w:sz w:val="24"/>
          <w:szCs w:val="24"/>
          <w:lang w:val="en-US" w:eastAsia="zh-CN"/>
        </w:rPr>
      </w:pPr>
      <w:r>
        <w:rPr>
          <w:rFonts w:hint="eastAsia" w:ascii="宋体" w:hAnsi="宋体" w:eastAsia="宋体" w:cs="宋体"/>
          <w:b/>
          <w:bCs/>
          <w:i w:val="0"/>
          <w:iCs w:val="0"/>
          <w:caps w:val="0"/>
          <w:color w:val="000000"/>
          <w:spacing w:val="0"/>
          <w:sz w:val="24"/>
          <w:szCs w:val="24"/>
          <w:lang w:val="en-US" w:eastAsia="zh-CN"/>
        </w:rPr>
        <w:t>2019年3月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sz w:val="21"/>
          <w:szCs w:val="21"/>
        </w:rPr>
      </w:pPr>
      <w:r>
        <w:rPr>
          <w:rFonts w:ascii="仿宋" w:hAnsi="仿宋" w:eastAsia="仿宋" w:cs="仿宋"/>
          <w:i w:val="0"/>
          <w:iCs w:val="0"/>
          <w:caps w:val="0"/>
          <w:color w:val="000000"/>
          <w:spacing w:val="0"/>
          <w:sz w:val="32"/>
          <w:szCs w:val="32"/>
          <w:bdr w:val="none" w:color="auto" w:sz="0" w:space="0"/>
        </w:rPr>
        <w:t>本报告根据《中华人民共和国政府信息公开条例》和《北京市政府信息公开规定》要求，由西城区天桥街道办事处</w:t>
      </w:r>
      <w:bookmarkStart w:id="0" w:name="_GoBack"/>
      <w:bookmarkEnd w:id="0"/>
      <w:r>
        <w:rPr>
          <w:rFonts w:ascii="仿宋" w:hAnsi="仿宋" w:eastAsia="仿宋" w:cs="仿宋"/>
          <w:i w:val="0"/>
          <w:iCs w:val="0"/>
          <w:caps w:val="0"/>
          <w:color w:val="000000"/>
          <w:spacing w:val="0"/>
          <w:sz w:val="32"/>
          <w:szCs w:val="32"/>
          <w:bdr w:val="none" w:color="auto" w:sz="0" w:space="0"/>
        </w:rPr>
        <w:t>编制的2018年度政府信息公开工作年度报告。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2"/>
          <w:szCs w:val="32"/>
          <w:bdr w:val="none" w:color="auto" w:sz="0" w:space="0"/>
        </w:rPr>
        <w:t>全文包括北京市政府信息和政务公开2018年度重点工作情况、存在的不足及2019年重点工作，以及主动公开、回应解读、依申请公开（含不予公开、收费及减免）、行政复议、行政诉讼、举报等政府信息公开相关数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2"/>
          <w:szCs w:val="32"/>
          <w:bdr w:val="none" w:color="auto" w:sz="0" w:space="0"/>
        </w:rPr>
        <w:t>本报告中所列数据的统计期限自2018年1月1日起，至2018年12月31日止。本报告的电子</w:t>
      </w:r>
      <w:r>
        <w:rPr>
          <w:rFonts w:hint="eastAsia" w:ascii="仿宋" w:hAnsi="仿宋" w:eastAsia="仿宋" w:cs="仿宋"/>
          <w:i w:val="0"/>
          <w:iCs w:val="0"/>
          <w:caps w:val="0"/>
          <w:color w:val="000000"/>
          <w:spacing w:val="-2"/>
          <w:sz w:val="32"/>
          <w:szCs w:val="32"/>
          <w:bdr w:val="none" w:color="auto" w:sz="0" w:space="0"/>
        </w:rPr>
        <w:t>版可在市政府门户网站“首都之窗”（</w:t>
      </w:r>
      <w:r>
        <w:rPr>
          <w:rFonts w:hint="default" w:ascii="Times New Roman" w:hAnsi="Times New Roman" w:eastAsia="sans-serif" w:cs="Times New Roman"/>
          <w:i w:val="0"/>
          <w:iCs w:val="0"/>
          <w:caps w:val="0"/>
          <w:color w:val="000000"/>
          <w:spacing w:val="-2"/>
          <w:sz w:val="32"/>
          <w:szCs w:val="32"/>
          <w:bdr w:val="none" w:color="auto" w:sz="0" w:space="0"/>
        </w:rPr>
        <w:t>http://www.beijing.gov.cn/</w:t>
      </w:r>
      <w:r>
        <w:rPr>
          <w:rFonts w:hint="eastAsia" w:ascii="仿宋" w:hAnsi="仿宋" w:eastAsia="仿宋" w:cs="仿宋"/>
          <w:i w:val="0"/>
          <w:iCs w:val="0"/>
          <w:caps w:val="0"/>
          <w:color w:val="000000"/>
          <w:spacing w:val="-2"/>
          <w:sz w:val="32"/>
          <w:szCs w:val="32"/>
          <w:bdr w:val="none" w:color="auto" w:sz="0" w:space="0"/>
        </w:rPr>
        <w:t>）下载。</w:t>
      </w:r>
      <w:r>
        <w:rPr>
          <w:rFonts w:hint="eastAsia" w:ascii="仿宋" w:hAnsi="仿宋" w:eastAsia="仿宋" w:cs="仿宋"/>
          <w:i w:val="0"/>
          <w:iCs w:val="0"/>
          <w:caps w:val="0"/>
          <w:color w:val="000000"/>
          <w:spacing w:val="0"/>
          <w:sz w:val="32"/>
          <w:szCs w:val="32"/>
          <w:bdr w:val="none" w:color="auto" w:sz="0" w:space="0"/>
        </w:rPr>
        <w:t>如对报告有疑问，请与天桥街道办事处办公室联系（地址:北京市西城区北纬路9号天桥街道办事处；邮编：100050；</w:t>
      </w:r>
      <w:r>
        <w:rPr>
          <w:rFonts w:hint="eastAsia" w:ascii="仿宋" w:hAnsi="仿宋" w:eastAsia="仿宋" w:cs="仿宋"/>
          <w:i w:val="0"/>
          <w:iCs w:val="0"/>
          <w:caps w:val="0"/>
          <w:color w:val="000000"/>
          <w:spacing w:val="-12"/>
          <w:sz w:val="32"/>
          <w:szCs w:val="32"/>
          <w:bdr w:val="none" w:color="auto" w:sz="0" w:space="0"/>
        </w:rPr>
        <w:t>联系电话：010-83366051；电子邮箱：tqjdbsc-</w:t>
      </w:r>
      <w:r>
        <w:rPr>
          <w:rFonts w:hint="default" w:ascii="Times New Roman" w:hAnsi="Times New Roman" w:eastAsia="sans-serif" w:cs="Times New Roman"/>
          <w:i w:val="0"/>
          <w:iCs w:val="0"/>
          <w:caps w:val="0"/>
          <w:color w:val="000000"/>
          <w:spacing w:val="-2"/>
          <w:sz w:val="32"/>
          <w:szCs w:val="32"/>
          <w:bdr w:val="none" w:color="auto" w:sz="0" w:space="0"/>
        </w:rPr>
        <w:t>xxgk@beijing.gov.c</w:t>
      </w:r>
      <w:r>
        <w:rPr>
          <w:rFonts w:hint="default" w:ascii="Times New Roman" w:hAnsi="Times New Roman" w:eastAsia="sans-serif" w:cs="Times New Roman"/>
          <w:i w:val="0"/>
          <w:iCs w:val="0"/>
          <w:caps w:val="0"/>
          <w:color w:val="000000"/>
          <w:spacing w:val="-12"/>
          <w:sz w:val="32"/>
          <w:szCs w:val="32"/>
          <w:bdr w:val="none" w:color="auto" w:sz="0" w:space="0"/>
        </w:rPr>
        <w:t>n</w:t>
      </w:r>
      <w:r>
        <w:rPr>
          <w:rFonts w:hint="eastAsia" w:ascii="仿宋" w:hAnsi="仿宋" w:eastAsia="仿宋" w:cs="仿宋"/>
          <w:i w:val="0"/>
          <w:iCs w:val="0"/>
          <w:caps w:val="0"/>
          <w:color w:val="000000"/>
          <w:spacing w:val="-12"/>
          <w:sz w:val="32"/>
          <w:szCs w:val="32"/>
          <w:bdr w:val="none" w:color="auto" w:sz="0" w:space="0"/>
        </w:rPr>
        <w:t>）。</w:t>
      </w:r>
    </w:p>
    <w:p>
      <w:pPr>
        <w:keepNext w:val="0"/>
        <w:keepLines w:val="0"/>
        <w:widowControl/>
        <w:suppressLineNumbers w:val="0"/>
        <w:ind w:left="0" w:firstLine="450"/>
        <w:jc w:val="left"/>
        <w:rPr>
          <w:rFonts w:hint="default" w:ascii="sans-serif" w:hAnsi="sans-serif" w:eastAsia="sans-serif" w:cs="sans-serif"/>
          <w:i w:val="0"/>
          <w:iCs w:val="0"/>
          <w:caps w:val="0"/>
          <w:color w:val="000000"/>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rPr>
          <w:rFonts w:hint="default" w:ascii="Times New Roman" w:hAnsi="Times New Roman" w:cs="Times New Roman"/>
          <w:sz w:val="21"/>
          <w:szCs w:val="21"/>
        </w:rPr>
      </w:pPr>
      <w:r>
        <w:rPr>
          <w:rFonts w:hint="eastAsia" w:ascii="黑体" w:hAnsi="宋体" w:eastAsia="黑体" w:cs="黑体"/>
          <w:i w:val="0"/>
          <w:iCs w:val="0"/>
          <w:caps w:val="0"/>
          <w:color w:val="000000"/>
          <w:spacing w:val="0"/>
          <w:sz w:val="32"/>
          <w:szCs w:val="32"/>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2"/>
          <w:szCs w:val="32"/>
          <w:bdr w:val="none" w:color="auto" w:sz="0" w:space="0"/>
        </w:rPr>
        <w:t>2018年，天桥街道深入学习贯彻党的十九大精神，以习近平新时代中国特色社会主义思想为指引，以习近平总书记两次视察北京重要讲话精神为根本遵循，贯彻《关于全面推进政务公开工作的意见》、《&lt;关于全面推进政务公开工作的意见&gt;实施细则》和《2018年政务公开工作要点》要求，把政务公开工作作为提高政府工作透明度、保证公民合法权益、促进依法行政的重要举措，按照我市政府信息公开工作的统一部署，在区委、区政府的领导下，以公开、便民、勤政、廉洁、高效为基本要求，扎实推进政府信息公开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sz w:val="21"/>
          <w:szCs w:val="21"/>
        </w:rPr>
      </w:pPr>
      <w:r>
        <w:rPr>
          <w:rFonts w:hint="eastAsia" w:ascii="黑体" w:hAnsi="宋体" w:eastAsia="黑体" w:cs="黑体"/>
          <w:i w:val="0"/>
          <w:iCs w:val="0"/>
          <w:caps w:val="0"/>
          <w:color w:val="000000"/>
          <w:spacing w:val="0"/>
          <w:sz w:val="32"/>
          <w:szCs w:val="32"/>
          <w:bdr w:val="none" w:color="auto" w:sz="0" w:space="0"/>
        </w:rPr>
        <w:t>一、年度重点工作情况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jc w:val="both"/>
        <w:rPr>
          <w:rFonts w:hint="default" w:ascii="Times New Roman" w:hAnsi="Times New Roman" w:cs="Times New Roman"/>
          <w:sz w:val="21"/>
          <w:szCs w:val="21"/>
        </w:rPr>
      </w:pPr>
      <w:r>
        <w:rPr>
          <w:rStyle w:val="5"/>
          <w:rFonts w:hint="eastAsia" w:ascii="仿宋" w:hAnsi="仿宋" w:eastAsia="仿宋" w:cs="仿宋"/>
          <w:i w:val="0"/>
          <w:iCs w:val="0"/>
          <w:caps w:val="0"/>
          <w:color w:val="000000"/>
          <w:spacing w:val="0"/>
          <w:sz w:val="32"/>
          <w:szCs w:val="32"/>
          <w:bdr w:val="none" w:color="auto" w:sz="0" w:space="0"/>
        </w:rPr>
        <w:t>（一）健全公开机制，夯实工作基础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2"/>
          <w:szCs w:val="32"/>
          <w:bdr w:val="none" w:color="auto" w:sz="0" w:space="0"/>
        </w:rPr>
        <w:t>成立了以办事处主任为组长、主管领导任副组长、街道综合办公室相关工作人员为成员的政府信息公开工作领导小组，领导小组下设办公室，由综合办公室负责信息公开工作的副主任担任领导小组办公室主任，主持日常政务公开工作，包括政府信息公开、办事信息公开等具体工作的落实，做到政府信息公开工作有人抓有人管、机构健全、渠道畅通。进一步完善信息公开工作制度，理顺政务信息公开工作流程，严格落实政务信息公开的审批机制、保密审查机制，对公开的政府信息，严格执行保密审查制度及程序，由科室负责人、主管领导、保密部门、主要领导逐级审核，确保公开的政府信息准确一致，促进政务公开工作走上制度化、规范化的轨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jc w:val="both"/>
        <w:rPr>
          <w:rFonts w:hint="default" w:ascii="Times New Roman" w:hAnsi="Times New Roman" w:cs="Times New Roman"/>
          <w:sz w:val="21"/>
          <w:szCs w:val="21"/>
        </w:rPr>
      </w:pPr>
      <w:r>
        <w:rPr>
          <w:rStyle w:val="5"/>
          <w:rFonts w:hint="eastAsia" w:ascii="仿宋" w:hAnsi="仿宋" w:eastAsia="仿宋" w:cs="仿宋"/>
          <w:i w:val="0"/>
          <w:iCs w:val="0"/>
          <w:caps w:val="0"/>
          <w:color w:val="000000"/>
          <w:spacing w:val="0"/>
          <w:sz w:val="32"/>
          <w:szCs w:val="32"/>
          <w:bdr w:val="none" w:color="auto" w:sz="0" w:space="0"/>
        </w:rPr>
        <w:t>（二）明确工作重点，深化公开内容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2"/>
          <w:szCs w:val="32"/>
          <w:bdr w:val="none" w:color="auto" w:sz="0" w:space="0"/>
        </w:rPr>
        <w:t>进一步明确公开重点内容，按照街道职责梳理政府信息目录清单，确定信息属性及公开权限，根据相关要求进一步完善街道政务公开全清单，落实“公开是常态，不公开是例外”的要求，确定街道预决算、社会救助、就业创业、计划生育、保障性住房等重点领域政务公开清单11大项、47小项。同时进一步加强重点领域公开力度，一是梳理公共服务事项，理清办理事项要素以及需要提供的材料明细，提供相关表格文件下载，方便居民办事。二是推进社会救助信息公开，按月公开低保对象、灵活就业社会保险补贴人员等相关信息及地区特困供养人员情况。三是及时公开经批准的预算、预算调整、决算、预算执行情况，积极推进预算绩效信息公开。按照要求将部门预决算全部公开至预算科目的“项”级科目，并按经济分类公开了基本支出财政拨款的“类”级预算；四是每周按照“工作动态”和“民生领域”的对街道工作信息进行公开，将群众关心的惠民信息、政策信息及活动信息及时在网站发布，充分维护群众的知情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jc w:val="both"/>
        <w:rPr>
          <w:rFonts w:hint="default" w:ascii="Times New Roman" w:hAnsi="Times New Roman" w:cs="Times New Roman"/>
          <w:sz w:val="21"/>
          <w:szCs w:val="21"/>
        </w:rPr>
      </w:pPr>
      <w:r>
        <w:rPr>
          <w:rStyle w:val="5"/>
          <w:rFonts w:hint="eastAsia" w:ascii="仿宋" w:hAnsi="仿宋" w:eastAsia="仿宋" w:cs="仿宋"/>
          <w:i w:val="0"/>
          <w:iCs w:val="0"/>
          <w:caps w:val="0"/>
          <w:color w:val="000000"/>
          <w:spacing w:val="0"/>
          <w:sz w:val="32"/>
          <w:szCs w:val="32"/>
          <w:bdr w:val="none" w:color="auto" w:sz="0" w:space="0"/>
        </w:rPr>
        <w:t>（三）畅通公开渠道，提高服务效能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2"/>
          <w:szCs w:val="32"/>
          <w:bdr w:val="none" w:color="auto" w:sz="0" w:space="0"/>
        </w:rPr>
        <w:t>一是充分利用西城区信息公开专栏和街道网站，及时、全面、准确地主动公开各类政务信息，规范公开内容，提高信息的实用性，方便群众查询、获取信息。二是利用《天桥报》、宣传栏、公共服务大厅LED屏等传统媒介重点公开公共服务事项办理程序、社会保障情况公示等信息，进一步加强政务公开力度。三是利用微博、微信等新媒体手段拓展公开渠道，增强政务公开的主动性、针对性、时效性，扩大公众互动。目前，我街道设有文明天桥、平安天桥、天桥环境守望者、社区青年汇等媒体发布渠道。四是充分利用好政府向群众报告工作相关机制，全年召开街道向群众报告会3次，积极推进会议公开工作，全年召开公开性会议10余次，广泛征求群众意见，听取群众需求，并向群众汇报工作成果。同时全年开展政府开放日2次，鼓励群众参观街道工作场所，了解工作流程，争取群众对工作的理解，提升服务型政府建设效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3"/>
        <w:jc w:val="both"/>
        <w:rPr>
          <w:rFonts w:hint="default" w:ascii="Times New Roman" w:hAnsi="Times New Roman" w:cs="Times New Roman"/>
          <w:sz w:val="21"/>
          <w:szCs w:val="21"/>
        </w:rPr>
      </w:pPr>
      <w:r>
        <w:rPr>
          <w:rStyle w:val="5"/>
          <w:rFonts w:hint="eastAsia" w:ascii="仿宋" w:hAnsi="仿宋" w:eastAsia="仿宋" w:cs="仿宋"/>
          <w:i w:val="0"/>
          <w:iCs w:val="0"/>
          <w:caps w:val="0"/>
          <w:color w:val="000000"/>
          <w:spacing w:val="0"/>
          <w:sz w:val="32"/>
          <w:szCs w:val="32"/>
          <w:bdr w:val="none" w:color="auto" w:sz="0" w:space="0"/>
        </w:rPr>
        <w:t>（四）积极开展自查，确保公开实效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2"/>
          <w:szCs w:val="32"/>
          <w:bdr w:val="none" w:color="auto" w:sz="0" w:space="0"/>
        </w:rPr>
        <w:t>结合市、区两级对政务公开的工作要求，根据区信息公开办的实时监控认真进行整改完善，对发现的公开不及时、公开项目不全等问题进行了整改，并配合区政务门户网站的更新工作更新了街道的各项内容的查阅链接，保证链接有效可用。同时以各类问题为导向按季度就政务公开工作进行自查，完善了信息公开制度建设，规范了信息公开流程，进一步梳理完善信息发布、保密审查、监督保障等工作规范，建立严格的信息公开审查制度，做到先审查后公开、一事一查、全面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sz w:val="21"/>
          <w:szCs w:val="21"/>
        </w:rPr>
      </w:pPr>
      <w:r>
        <w:rPr>
          <w:rFonts w:hint="eastAsia" w:ascii="黑体" w:hAnsi="宋体" w:eastAsia="黑体" w:cs="黑体"/>
          <w:i w:val="0"/>
          <w:iCs w:val="0"/>
          <w:caps w:val="0"/>
          <w:color w:val="000000"/>
          <w:spacing w:val="0"/>
          <w:sz w:val="32"/>
          <w:szCs w:val="32"/>
          <w:bdr w:val="none" w:color="auto" w:sz="0" w:space="0"/>
        </w:rPr>
        <w:t>二、信息公开数据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jc w:val="both"/>
        <w:rPr>
          <w:rFonts w:hint="default" w:ascii="Times New Roman" w:hAnsi="Times New Roman" w:cs="Times New Roman"/>
          <w:sz w:val="21"/>
          <w:szCs w:val="21"/>
        </w:rPr>
      </w:pPr>
      <w:r>
        <w:rPr>
          <w:rStyle w:val="5"/>
          <w:rFonts w:hint="eastAsia" w:ascii="仿宋" w:hAnsi="仿宋" w:eastAsia="仿宋" w:cs="仿宋"/>
          <w:i w:val="0"/>
          <w:iCs w:val="0"/>
          <w:caps w:val="0"/>
          <w:color w:val="000000"/>
          <w:spacing w:val="0"/>
          <w:sz w:val="32"/>
          <w:szCs w:val="32"/>
          <w:bdr w:val="none" w:color="auto" w:sz="0" w:space="0"/>
        </w:rPr>
        <w:t>（一）主动公开情况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2"/>
          <w:szCs w:val="32"/>
          <w:bdr w:val="none" w:color="auto" w:sz="0" w:space="0"/>
        </w:rPr>
        <w:t>2018年主动公开政府信息数1450条。其中，重点领域公开政府信息数1446条，包括主动公开财政预算决算、“三公经费”和行政经费信息数2条、规范性文件数4条、主动公开市人民政府决定主动公开的其他信息等信息数1444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2"/>
          <w:szCs w:val="32"/>
          <w:bdr w:val="none" w:color="auto" w:sz="0" w:space="0"/>
        </w:rPr>
        <w:t>通过不同渠道和方式公开政府信息的情况，包括政府网站公开政府信息数479条；政务微博公开政府信息数471条；政务微信公开政府信息数500条。由于我街道不涉及公共资源配置领域政府信息公开情况和重大建设项目批准和实施领域的政府信息，故未公开过此类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jc w:val="both"/>
        <w:rPr>
          <w:rFonts w:hint="default" w:ascii="Times New Roman" w:hAnsi="Times New Roman" w:cs="Times New Roman"/>
          <w:sz w:val="21"/>
          <w:szCs w:val="21"/>
        </w:rPr>
      </w:pPr>
      <w:r>
        <w:rPr>
          <w:rStyle w:val="5"/>
          <w:rFonts w:hint="eastAsia" w:ascii="仿宋" w:hAnsi="仿宋" w:eastAsia="仿宋" w:cs="仿宋"/>
          <w:i w:val="0"/>
          <w:iCs w:val="0"/>
          <w:caps w:val="0"/>
          <w:color w:val="000000"/>
          <w:spacing w:val="0"/>
          <w:sz w:val="32"/>
          <w:szCs w:val="32"/>
          <w:bdr w:val="none" w:color="auto" w:sz="0" w:space="0"/>
        </w:rPr>
        <w:t>（二）依申请公开情况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2"/>
          <w:szCs w:val="32"/>
          <w:bdr w:val="none" w:color="auto" w:sz="0" w:space="0"/>
        </w:rPr>
        <w:t>1.申请情况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2"/>
          <w:szCs w:val="32"/>
          <w:bdr w:val="none" w:color="auto" w:sz="0" w:space="0"/>
        </w:rPr>
        <w:t>天桥街道收到的申请总数为2件；申请方式中，以信函形式申请2件，占总数的100%。申请主要事项为“进千门走万户”行动中征集的各类建议的270项问题汇总清单及2018年天桥街道——大台街道手拉手专项活动招聘会”的招聘单位名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2"/>
          <w:szCs w:val="32"/>
          <w:bdr w:val="none" w:color="auto" w:sz="0" w:space="0"/>
        </w:rPr>
        <w:t>2.答复情况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4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2"/>
          <w:szCs w:val="32"/>
          <w:bdr w:val="none" w:color="auto" w:sz="0" w:space="0"/>
        </w:rPr>
        <w:t>天桥街道2件申请共涉及申请事项2项，申请内容明确，可以答复是否公开，并已按期答复。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4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2"/>
          <w:szCs w:val="32"/>
          <w:bdr w:val="none" w:color="auto" w:sz="0" w:space="0"/>
        </w:rPr>
        <w:t>已答复的2项申请中：申请内容明确，可以答复是否公开的共2项（占总数的100%）；其它答复类型共0项（占总数的0%）。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4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2"/>
          <w:szCs w:val="32"/>
          <w:bdr w:val="none" w:color="auto" w:sz="0" w:space="0"/>
        </w:rPr>
        <w:t>3.依申请公开政府信息收费情况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4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2"/>
          <w:szCs w:val="32"/>
          <w:bdr w:val="none" w:color="auto" w:sz="0" w:space="0"/>
        </w:rPr>
        <w:t>截止目前，我街道办理的2件依申请公开件未涉及政府信息收费内容，未收取申请人费用，申请人所需信息已按时通过邮件送达。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4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2"/>
          <w:szCs w:val="32"/>
          <w:bdr w:val="none" w:color="auto" w:sz="0" w:space="0"/>
        </w:rPr>
        <w:t>4.存在的主要问题及改进措施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4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2"/>
          <w:szCs w:val="32"/>
          <w:bdr w:val="none" w:color="auto" w:sz="0" w:space="0"/>
        </w:rPr>
        <w:t>根据自查及公开办检查反馈，我街道的依申请公开工作还存在格式不够规范、内部流程有待进一步完善等问题，针对这些问题，我街道主动整改，进一步核实依申请公开的救济渠道，重新完善依申请公开的回复格式，同时进一步优化简化内部审批流程，简化程序，根据最新的工作要求重新完善审批表格，保证简明高效，用最短的时间给申请人最满意的答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jc w:val="both"/>
        <w:rPr>
          <w:rFonts w:hint="default" w:ascii="Times New Roman" w:hAnsi="Times New Roman" w:cs="Times New Roman"/>
          <w:sz w:val="21"/>
          <w:szCs w:val="21"/>
        </w:rPr>
      </w:pPr>
      <w:r>
        <w:rPr>
          <w:rStyle w:val="5"/>
          <w:rFonts w:hint="eastAsia" w:ascii="仿宋" w:hAnsi="仿宋" w:eastAsia="仿宋" w:cs="仿宋"/>
          <w:i w:val="0"/>
          <w:iCs w:val="0"/>
          <w:caps w:val="0"/>
          <w:color w:val="000000"/>
          <w:spacing w:val="0"/>
          <w:sz w:val="32"/>
          <w:szCs w:val="32"/>
          <w:bdr w:val="none" w:color="auto" w:sz="0" w:space="0"/>
        </w:rPr>
        <w:t>（三）行政复议、诉讼及举报情况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2"/>
          <w:szCs w:val="32"/>
          <w:bdr w:val="none" w:color="auto" w:sz="0" w:space="0"/>
        </w:rPr>
        <w:t>天桥街道2018年共收到行政复议案件及与政府信息公开有关的举报件均为0件。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jc w:val="both"/>
        <w:rPr>
          <w:rFonts w:hint="default" w:ascii="Times New Roman" w:hAnsi="Times New Roman" w:cs="Times New Roman"/>
          <w:sz w:val="21"/>
          <w:szCs w:val="21"/>
        </w:rPr>
      </w:pPr>
      <w:r>
        <w:rPr>
          <w:rStyle w:val="5"/>
          <w:rFonts w:hint="eastAsia" w:ascii="仿宋" w:hAnsi="仿宋" w:eastAsia="仿宋" w:cs="仿宋"/>
          <w:i w:val="0"/>
          <w:iCs w:val="0"/>
          <w:caps w:val="0"/>
          <w:color w:val="000000"/>
          <w:spacing w:val="0"/>
          <w:sz w:val="32"/>
          <w:szCs w:val="32"/>
          <w:bdr w:val="none" w:color="auto" w:sz="0" w:space="0"/>
        </w:rPr>
        <w:t>（四）机构建设及保障培训情况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2"/>
          <w:szCs w:val="32"/>
          <w:bdr w:val="none" w:color="auto" w:sz="0" w:space="0"/>
        </w:rPr>
        <w:t>本市政府信息公开工作专门机构数1个，设置政府信息公开查阅点数3个：从事政府信息公开工作人员2名，其中，专职人员数1人。政府信息公开专项经费20000元。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2"/>
          <w:szCs w:val="32"/>
          <w:bdr w:val="none" w:color="auto" w:sz="0" w:space="0"/>
        </w:rPr>
        <w:t>街道全年召开政府信息公开工作会议或专题会议数2次；举办各类培训班数1次；接受培训人员数2人。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jc w:val="both"/>
        <w:rPr>
          <w:rFonts w:hint="default" w:ascii="Times New Roman" w:hAnsi="Times New Roman" w:cs="Times New Roman"/>
          <w:sz w:val="21"/>
          <w:szCs w:val="21"/>
        </w:rPr>
      </w:pPr>
      <w:r>
        <w:rPr>
          <w:rStyle w:val="5"/>
          <w:rFonts w:hint="eastAsia" w:ascii="仿宋" w:hAnsi="仿宋" w:eastAsia="仿宋" w:cs="仿宋"/>
          <w:i w:val="0"/>
          <w:iCs w:val="0"/>
          <w:caps w:val="0"/>
          <w:color w:val="000000"/>
          <w:spacing w:val="0"/>
          <w:sz w:val="32"/>
          <w:szCs w:val="32"/>
          <w:bdr w:val="none" w:color="auto" w:sz="0" w:space="0"/>
        </w:rPr>
        <w:t>（五）人大代表建议和政协委员提案办理结果的公开情况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2"/>
          <w:szCs w:val="32"/>
          <w:bdr w:val="none" w:color="auto" w:sz="0" w:space="0"/>
        </w:rPr>
        <w:t>2018年我单位共承办人大代表建议和政协委员提案7件，全部作为协办单位配合主办单位进行办理，</w:t>
      </w:r>
      <w:r>
        <w:rPr>
          <w:rFonts w:ascii="仿宋_GB2312" w:hAnsi="仿宋" w:eastAsia="仿宋_GB2312" w:cs="仿宋_GB2312"/>
          <w:i w:val="0"/>
          <w:iCs w:val="0"/>
          <w:caps w:val="0"/>
          <w:color w:val="000000"/>
          <w:spacing w:val="0"/>
          <w:sz w:val="32"/>
          <w:szCs w:val="32"/>
          <w:bdr w:val="none" w:color="auto" w:sz="0" w:space="0"/>
        </w:rPr>
        <w:t>认真贯彻落实上级建议办理工作的指示精神和有关规定，</w:t>
      </w:r>
      <w:r>
        <w:rPr>
          <w:rFonts w:hint="eastAsia" w:ascii="仿宋" w:hAnsi="仿宋" w:eastAsia="仿宋" w:cs="仿宋"/>
          <w:i w:val="0"/>
          <w:iCs w:val="0"/>
          <w:caps w:val="0"/>
          <w:color w:val="000000"/>
          <w:spacing w:val="0"/>
          <w:sz w:val="32"/>
          <w:szCs w:val="32"/>
          <w:bdr w:val="none" w:color="auto" w:sz="0" w:space="0"/>
        </w:rPr>
        <w:t>根据主办单位要求提供相关的材料，认真完成提案办理工作，最终由主办单位形成系统的办理报告进行反馈及公开。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sz w:val="21"/>
          <w:szCs w:val="21"/>
        </w:rPr>
      </w:pPr>
      <w:r>
        <w:rPr>
          <w:rFonts w:hint="eastAsia" w:ascii="黑体" w:hAnsi="宋体" w:eastAsia="黑体" w:cs="黑体"/>
          <w:i w:val="0"/>
          <w:iCs w:val="0"/>
          <w:caps w:val="0"/>
          <w:color w:val="000000"/>
          <w:spacing w:val="0"/>
          <w:sz w:val="32"/>
          <w:szCs w:val="32"/>
          <w:bdr w:val="none" w:color="auto" w:sz="0" w:space="0"/>
        </w:rPr>
        <w:t>三、存在的不足及2019年重点工作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jc w:val="both"/>
        <w:rPr>
          <w:rFonts w:hint="default" w:ascii="Times New Roman" w:hAnsi="Times New Roman" w:cs="Times New Roman"/>
          <w:sz w:val="21"/>
          <w:szCs w:val="21"/>
        </w:rPr>
      </w:pPr>
      <w:r>
        <w:rPr>
          <w:rStyle w:val="5"/>
          <w:rFonts w:hint="eastAsia" w:ascii="仿宋" w:hAnsi="仿宋" w:eastAsia="仿宋" w:cs="仿宋"/>
          <w:i w:val="0"/>
          <w:iCs w:val="0"/>
          <w:caps w:val="0"/>
          <w:color w:val="000000"/>
          <w:spacing w:val="0"/>
          <w:sz w:val="32"/>
          <w:szCs w:val="32"/>
          <w:bdr w:val="none" w:color="auto" w:sz="0" w:space="0"/>
        </w:rPr>
        <w:t>（一）存在的不足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2"/>
          <w:szCs w:val="32"/>
          <w:bdr w:val="none" w:color="auto" w:sz="0" w:space="0"/>
        </w:rPr>
        <w:t>2018年，街道信息公开工作取得了新的进展，但同时也存在诸多问题，例如部门和人员对政府信息公开工作重视不够，信息公开更新内容不够及时、全面，与广大群众的要求还有一定差距；信息审核不够仔细，存在错别字现象；各类公开信息文本的要素不够规范全面；公开形式有待丰富，政府开放日、政府向群众报告工作等活动应进一步增加开展次数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jc w:val="both"/>
        <w:rPr>
          <w:rFonts w:hint="default" w:ascii="Times New Roman" w:hAnsi="Times New Roman" w:cs="Times New Roman"/>
          <w:sz w:val="21"/>
          <w:szCs w:val="21"/>
        </w:rPr>
      </w:pPr>
      <w:r>
        <w:rPr>
          <w:rStyle w:val="5"/>
          <w:rFonts w:hint="eastAsia" w:ascii="仿宋" w:hAnsi="仿宋" w:eastAsia="仿宋" w:cs="仿宋"/>
          <w:i w:val="0"/>
          <w:iCs w:val="0"/>
          <w:caps w:val="0"/>
          <w:color w:val="000000"/>
          <w:spacing w:val="0"/>
          <w:sz w:val="32"/>
          <w:szCs w:val="32"/>
          <w:bdr w:val="none" w:color="auto" w:sz="0" w:space="0"/>
        </w:rPr>
        <w:t>（二）2018年重点工作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30"/>
        <w:jc w:val="both"/>
        <w:rPr>
          <w:rFonts w:hint="default" w:ascii="Times New Roman" w:hAnsi="Times New Roman" w:cs="Times New Roman"/>
          <w:sz w:val="21"/>
          <w:szCs w:val="21"/>
        </w:rPr>
      </w:pPr>
      <w:r>
        <w:rPr>
          <w:rStyle w:val="5"/>
          <w:rFonts w:hint="eastAsia" w:ascii="仿宋" w:hAnsi="仿宋" w:eastAsia="仿宋" w:cs="仿宋"/>
          <w:i w:val="0"/>
          <w:iCs w:val="0"/>
          <w:caps w:val="0"/>
          <w:color w:val="000000"/>
          <w:spacing w:val="0"/>
          <w:sz w:val="32"/>
          <w:szCs w:val="32"/>
          <w:bdr w:val="none" w:color="auto" w:sz="0" w:space="0"/>
        </w:rPr>
        <w:t>一是系统梳理，加强主动公开意识。</w:t>
      </w:r>
      <w:r>
        <w:rPr>
          <w:rFonts w:hint="eastAsia" w:ascii="仿宋" w:hAnsi="仿宋" w:eastAsia="仿宋" w:cs="仿宋"/>
          <w:i w:val="0"/>
          <w:iCs w:val="0"/>
          <w:caps w:val="0"/>
          <w:color w:val="000000"/>
          <w:spacing w:val="0"/>
          <w:sz w:val="32"/>
          <w:szCs w:val="32"/>
          <w:bdr w:val="none" w:color="auto" w:sz="0" w:space="0"/>
        </w:rPr>
        <w:t>全面梳理主动公开事项。坚持把政府信息公开作为政府工作的基本制度，将公开透明作为依法行政的基本要求，不断扩大公开范围，细化公开内容，拓展公开渠道，切实做好了政府信息公开各项基本目录的信息发布。充分发挥天桥报、政务微博、微信等主阵地、主渠道作用，及时、准确、规范按照要求更新发布信息，把公众普遍关心、重点关注的信息予以公开，进一步提高政务公开的针对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jc w:val="both"/>
        <w:rPr>
          <w:rFonts w:hint="default" w:ascii="Times New Roman" w:hAnsi="Times New Roman" w:cs="Times New Roman"/>
          <w:sz w:val="21"/>
          <w:szCs w:val="21"/>
        </w:rPr>
      </w:pPr>
      <w:r>
        <w:rPr>
          <w:rStyle w:val="5"/>
          <w:rFonts w:hint="eastAsia" w:ascii="仿宋" w:hAnsi="仿宋" w:eastAsia="仿宋" w:cs="仿宋"/>
          <w:i w:val="0"/>
          <w:iCs w:val="0"/>
          <w:caps w:val="0"/>
          <w:color w:val="000000"/>
          <w:spacing w:val="0"/>
          <w:sz w:val="32"/>
          <w:szCs w:val="32"/>
          <w:bdr w:val="none" w:color="auto" w:sz="0" w:space="0"/>
        </w:rPr>
        <w:t>二是健全机制，规范依申请公开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2"/>
          <w:szCs w:val="32"/>
          <w:bdr w:val="none" w:color="auto" w:sz="0" w:space="0"/>
        </w:rPr>
        <w:t>进一步推进依申请公开工作，完善依申请公开指南，健全工作机制，规范工作流程，切实做好政府信息公开申请从受理、登记、办理、答复等每一个环节。面对复杂疑难问题，加强与法律顾问、法制部门的沟通对接，召开专题会议研究会商，确保答复内容的规范和合法，切实保障公众的知情权和监督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jc w:val="both"/>
        <w:rPr>
          <w:rFonts w:hint="default" w:ascii="Times New Roman" w:hAnsi="Times New Roman" w:cs="Times New Roman"/>
          <w:sz w:val="21"/>
          <w:szCs w:val="21"/>
        </w:rPr>
      </w:pPr>
      <w:r>
        <w:rPr>
          <w:rStyle w:val="5"/>
          <w:rFonts w:hint="eastAsia" w:ascii="仿宋" w:hAnsi="仿宋" w:eastAsia="仿宋" w:cs="仿宋"/>
          <w:i w:val="0"/>
          <w:iCs w:val="0"/>
          <w:caps w:val="0"/>
          <w:color w:val="000000"/>
          <w:spacing w:val="0"/>
          <w:sz w:val="32"/>
          <w:szCs w:val="32"/>
          <w:bdr w:val="none" w:color="auto" w:sz="0" w:space="0"/>
        </w:rPr>
        <w:t>三是落实保障，抓好平台管理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2"/>
          <w:szCs w:val="32"/>
          <w:bdr w:val="none" w:color="auto" w:sz="0" w:space="0"/>
        </w:rPr>
        <w:t>进一步加强门户网站和政务新媒体建设，认真贯彻落实关于政府网站发展和管理的相关要求，加强对街道门户网站以及政务微博、微信的建设管理和日常维护，完善安全保障机制，定期开展自查，做好防攻击、防篡改、防病毒等工作，切实保障政府信息公开的渠道畅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3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2"/>
          <w:szCs w:val="32"/>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3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2"/>
          <w:szCs w:val="32"/>
          <w:bdr w:val="none" w:color="auto" w:sz="0" w:space="0"/>
        </w:rPr>
        <w:t>附件：政府信息公开情况统计表（2018年度）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3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2"/>
          <w:szCs w:val="32"/>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3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2"/>
          <w:szCs w:val="32"/>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3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2"/>
          <w:szCs w:val="32"/>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3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2"/>
          <w:szCs w:val="32"/>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3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2"/>
          <w:szCs w:val="32"/>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3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2"/>
          <w:szCs w:val="32"/>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3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2"/>
          <w:szCs w:val="32"/>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3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2"/>
          <w:szCs w:val="32"/>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3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2"/>
          <w:szCs w:val="32"/>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3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2"/>
          <w:szCs w:val="32"/>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3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2"/>
          <w:szCs w:val="32"/>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3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2"/>
          <w:szCs w:val="32"/>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3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2"/>
          <w:szCs w:val="32"/>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3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2"/>
          <w:szCs w:val="32"/>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3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2"/>
          <w:szCs w:val="32"/>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3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2"/>
          <w:szCs w:val="32"/>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3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2"/>
          <w:szCs w:val="32"/>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3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2"/>
          <w:szCs w:val="32"/>
          <w:bdr w:val="none" w:color="auto" w:sz="0" w:space="0"/>
        </w:rPr>
        <w:t> </w:t>
      </w:r>
    </w:p>
    <w:tbl>
      <w:tblPr>
        <w:tblW w:w="715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5805"/>
        <w:gridCol w:w="540"/>
        <w:gridCol w:w="8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05" w:hRule="atLeast"/>
          <w:jc w:val="center"/>
        </w:trPr>
        <w:tc>
          <w:tcPr>
            <w:tcW w:w="7155" w:type="dxa"/>
            <w:gridSpan w:val="3"/>
            <w:tcBorders>
              <w:top w:val="dotted" w:color="D3D3D3" w:sz="6" w:space="0"/>
              <w:left w:val="dotted" w:color="D3D3D3" w:sz="6" w:space="0"/>
              <w:bottom w:val="dotted" w:color="D3D3D3" w:sz="6" w:space="0"/>
              <w:right w:val="dotted" w:color="D3D3D3" w:sz="6"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ascii="方正小标宋简体" w:hAnsi="方正小标宋简体" w:eastAsia="方正小标宋简体" w:cs="方正小标宋简体"/>
                <w:sz w:val="44"/>
                <w:szCs w:val="44"/>
                <w:bdr w:val="none" w:color="auto" w:sz="0" w:space="0"/>
              </w:rPr>
              <w:t>政府信息公开情况统计表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1" w:hRule="atLeast"/>
          <w:jc w:val="center"/>
        </w:trPr>
        <w:tc>
          <w:tcPr>
            <w:tcW w:w="7155" w:type="dxa"/>
            <w:gridSpan w:val="3"/>
            <w:tcBorders>
              <w:top w:val="dotted" w:color="D3D3D3" w:sz="6" w:space="0"/>
              <w:left w:val="dotted" w:color="D3D3D3" w:sz="6" w:space="0"/>
              <w:bottom w:val="dotted" w:color="D3D3D3" w:sz="6" w:space="0"/>
              <w:right w:val="dotted" w:color="D3D3D3" w:sz="6"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ascii="楷体" w:hAnsi="楷体" w:eastAsia="楷体" w:cs="楷体"/>
                <w:sz w:val="32"/>
                <w:szCs w:val="32"/>
                <w:bdr w:val="none" w:color="auto" w:sz="0" w:space="0"/>
              </w:rPr>
              <w:t>（2018年度）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jc w:val="center"/>
        </w:trPr>
        <w:tc>
          <w:tcPr>
            <w:tcW w:w="5805" w:type="dxa"/>
            <w:tcBorders>
              <w:top w:val="single" w:color="auto" w:sz="8" w:space="0"/>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sz w:val="24"/>
                <w:szCs w:val="24"/>
                <w:bdr w:val="none" w:color="auto" w:sz="0" w:space="0"/>
              </w:rPr>
              <w:t>统 计 指 标</w:t>
            </w:r>
          </w:p>
        </w:tc>
        <w:tc>
          <w:tcPr>
            <w:tcW w:w="540" w:type="dxa"/>
            <w:tcBorders>
              <w:top w:val="single" w:color="auto" w:sz="8" w:space="0"/>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sz w:val="24"/>
                <w:szCs w:val="24"/>
                <w:bdr w:val="none" w:color="auto" w:sz="0" w:space="0"/>
              </w:rPr>
              <w:t>单位</w:t>
            </w:r>
          </w:p>
        </w:tc>
        <w:tc>
          <w:tcPr>
            <w:tcW w:w="810" w:type="dxa"/>
            <w:tcBorders>
              <w:top w:val="single" w:color="auto" w:sz="8" w:space="0"/>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sz w:val="24"/>
                <w:szCs w:val="24"/>
                <w:bdr w:val="none" w:color="auto" w:sz="0" w:space="0"/>
              </w:rPr>
              <w:t>统计数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黑体" w:hAnsi="宋体" w:eastAsia="黑体" w:cs="黑体"/>
                <w:sz w:val="24"/>
                <w:szCs w:val="24"/>
                <w:bdr w:val="none" w:color="auto" w:sz="0" w:space="0"/>
              </w:rPr>
              <w:t>一、主动公开情况</w:t>
            </w:r>
          </w:p>
        </w:tc>
        <w:tc>
          <w:tcPr>
            <w:tcW w:w="540"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jc w:val="left"/>
              <w:rPr>
                <w:sz w:val="18"/>
                <w:szCs w:val="18"/>
              </w:rPr>
            </w:pPr>
          </w:p>
        </w:tc>
        <w:tc>
          <w:tcPr>
            <w:tcW w:w="810"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jc w:val="left"/>
              <w:rPr>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jc w:val="center"/>
        </w:trPr>
        <w:tc>
          <w:tcPr>
            <w:tcW w:w="5805"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（一）主动公开政府信息数</w:t>
            </w:r>
            <w:r>
              <w:rPr>
                <w:rFonts w:hint="eastAsia" w:ascii="仿宋" w:hAnsi="仿宋" w:eastAsia="仿宋" w:cs="仿宋"/>
                <w:sz w:val="24"/>
                <w:szCs w:val="24"/>
                <w:bdr w:val="none" w:color="auto" w:sz="0" w:space="0"/>
              </w:rPr>
              <w:br w:type="textWrapping"/>
            </w:r>
            <w:r>
              <w:rPr>
                <w:rFonts w:hint="eastAsia" w:ascii="仿宋" w:hAnsi="仿宋" w:eastAsia="仿宋" w:cs="仿宋"/>
                <w:sz w:val="24"/>
                <w:szCs w:val="24"/>
                <w:bdr w:val="none" w:color="auto" w:sz="0" w:space="0"/>
              </w:rPr>
              <w:t>       （不同渠道和方式公开相同信息计1条）</w:t>
            </w:r>
          </w:p>
        </w:tc>
        <w:tc>
          <w:tcPr>
            <w:tcW w:w="54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条</w:t>
            </w:r>
          </w:p>
        </w:tc>
        <w:tc>
          <w:tcPr>
            <w:tcW w:w="81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1450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其中：主动公开规范性文件数</w:t>
            </w:r>
          </w:p>
        </w:tc>
        <w:tc>
          <w:tcPr>
            <w:tcW w:w="54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条</w:t>
            </w:r>
          </w:p>
        </w:tc>
        <w:tc>
          <w:tcPr>
            <w:tcW w:w="81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jc w:val="center"/>
        </w:trPr>
        <w:tc>
          <w:tcPr>
            <w:tcW w:w="5805" w:type="dxa"/>
            <w:tcBorders>
              <w:top w:val="nil"/>
              <w:left w:val="single" w:color="auto" w:sz="8" w:space="0"/>
              <w:bottom w:val="nil"/>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制发规范性文件总数</w:t>
            </w:r>
          </w:p>
        </w:tc>
        <w:tc>
          <w:tcPr>
            <w:tcW w:w="54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件</w:t>
            </w:r>
          </w:p>
        </w:tc>
        <w:tc>
          <w:tcPr>
            <w:tcW w:w="810"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jc w:val="left"/>
              <w:rPr>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jc w:val="center"/>
        </w:trPr>
        <w:tc>
          <w:tcPr>
            <w:tcW w:w="580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（二）重点领域公开政府信息数</w:t>
            </w:r>
            <w:r>
              <w:rPr>
                <w:rFonts w:hint="eastAsia" w:ascii="仿宋" w:hAnsi="仿宋" w:eastAsia="仿宋" w:cs="仿宋"/>
                <w:sz w:val="24"/>
                <w:szCs w:val="24"/>
                <w:bdr w:val="none" w:color="auto" w:sz="0" w:space="0"/>
              </w:rPr>
              <w:br w:type="textWrapping"/>
            </w:r>
            <w:r>
              <w:rPr>
                <w:rFonts w:hint="eastAsia" w:ascii="仿宋" w:hAnsi="仿宋" w:eastAsia="仿宋" w:cs="仿宋"/>
                <w:sz w:val="24"/>
                <w:szCs w:val="24"/>
                <w:bdr w:val="none" w:color="auto" w:sz="0" w:space="0"/>
              </w:rPr>
              <w:t>       （不同渠道和方式公开相同信息计1条）</w:t>
            </w:r>
          </w:p>
        </w:tc>
        <w:tc>
          <w:tcPr>
            <w:tcW w:w="54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条</w:t>
            </w:r>
          </w:p>
        </w:tc>
        <w:tc>
          <w:tcPr>
            <w:tcW w:w="81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1446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5805"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680" w:right="0" w:hanging="1680"/>
              <w:jc w:val="both"/>
              <w:rPr>
                <w:rFonts w:hint="default" w:ascii="Times New Roman" w:hAnsi="Times New Roman" w:cs="Times New Roman"/>
                <w:sz w:val="21"/>
                <w:szCs w:val="21"/>
              </w:rPr>
            </w:pPr>
            <w:r>
              <w:rPr>
                <w:rFonts w:hint="eastAsia" w:ascii="仿宋" w:hAnsi="仿宋" w:eastAsia="仿宋" w:cs="仿宋"/>
                <w:sz w:val="24"/>
                <w:szCs w:val="24"/>
                <w:bdr w:val="none" w:color="auto" w:sz="0" w:space="0"/>
              </w:rPr>
              <w:t>        其中：主动公开财政预算决算、“三公经费”和行政经费信息数</w:t>
            </w:r>
          </w:p>
        </w:tc>
        <w:tc>
          <w:tcPr>
            <w:tcW w:w="54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条</w:t>
            </w:r>
          </w:p>
        </w:tc>
        <w:tc>
          <w:tcPr>
            <w:tcW w:w="81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sz w:val="21"/>
                <w:szCs w:val="21"/>
              </w:rPr>
            </w:pPr>
            <w:r>
              <w:rPr>
                <w:rFonts w:hint="eastAsia" w:ascii="仿宋" w:hAnsi="仿宋" w:eastAsia="仿宋" w:cs="仿宋"/>
                <w:sz w:val="24"/>
                <w:szCs w:val="24"/>
                <w:bdr w:val="none" w:color="auto" w:sz="0" w:space="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5805"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680" w:right="0" w:hanging="168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主动公开保障性安居工程建设计划、项目开工和竣工情况，保障性住房的分配和退出等信息数</w:t>
            </w:r>
          </w:p>
        </w:tc>
        <w:tc>
          <w:tcPr>
            <w:tcW w:w="54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条</w:t>
            </w:r>
          </w:p>
        </w:tc>
        <w:tc>
          <w:tcPr>
            <w:tcW w:w="810"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jc w:val="left"/>
              <w:rPr>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5805"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680" w:right="0" w:hanging="168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主动公开食品安全标准，食品生产经营许可、专项检查整治等信息数</w:t>
            </w:r>
          </w:p>
        </w:tc>
        <w:tc>
          <w:tcPr>
            <w:tcW w:w="54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条</w:t>
            </w:r>
          </w:p>
        </w:tc>
        <w:tc>
          <w:tcPr>
            <w:tcW w:w="81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jc w:val="left"/>
              <w:rPr>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5" w:hRule="atLeast"/>
          <w:jc w:val="center"/>
        </w:trPr>
        <w:tc>
          <w:tcPr>
            <w:tcW w:w="5805"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680" w:right="0" w:hanging="168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主动公开环境核查审批、环境状况公报和重特大突发环境事件等信息数</w:t>
            </w:r>
          </w:p>
        </w:tc>
        <w:tc>
          <w:tcPr>
            <w:tcW w:w="54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条</w:t>
            </w:r>
          </w:p>
        </w:tc>
        <w:tc>
          <w:tcPr>
            <w:tcW w:w="81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jc w:val="left"/>
              <w:rPr>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jc w:val="center"/>
        </w:trPr>
        <w:tc>
          <w:tcPr>
            <w:tcW w:w="5805"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680" w:right="0" w:hanging="168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主动公开招投标违法违规行为及处理情况、国有资金占控股或者主导地位依法应当招标的项目等信息数</w:t>
            </w:r>
          </w:p>
        </w:tc>
        <w:tc>
          <w:tcPr>
            <w:tcW w:w="54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条</w:t>
            </w:r>
          </w:p>
        </w:tc>
        <w:tc>
          <w:tcPr>
            <w:tcW w:w="81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jc w:val="left"/>
              <w:rPr>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05" w:hRule="atLeast"/>
          <w:jc w:val="center"/>
        </w:trPr>
        <w:tc>
          <w:tcPr>
            <w:tcW w:w="5805"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680" w:right="0" w:hanging="168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主动公开生产安全事故的政府举措、处置进展、风险预警、防范措施等信息数</w:t>
            </w:r>
          </w:p>
        </w:tc>
        <w:tc>
          <w:tcPr>
            <w:tcW w:w="54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条</w:t>
            </w:r>
          </w:p>
        </w:tc>
        <w:tc>
          <w:tcPr>
            <w:tcW w:w="81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jc w:val="left"/>
              <w:rPr>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5805"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680" w:right="0" w:hanging="168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主动公开农用地转为建设用地批准、征收集体土地批准、征地公告、征地补偿安置公示、集体土地征收结案等信息数</w:t>
            </w:r>
          </w:p>
        </w:tc>
        <w:tc>
          <w:tcPr>
            <w:tcW w:w="54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条</w:t>
            </w:r>
          </w:p>
        </w:tc>
        <w:tc>
          <w:tcPr>
            <w:tcW w:w="81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jc w:val="left"/>
              <w:rPr>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5805"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680" w:right="0" w:hanging="168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主动公开政府指导价、政府定价和收费标准调整的项目、价格、依据、执行时间和范围等信息数</w:t>
            </w:r>
          </w:p>
        </w:tc>
        <w:tc>
          <w:tcPr>
            <w:tcW w:w="54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条</w:t>
            </w:r>
          </w:p>
        </w:tc>
        <w:tc>
          <w:tcPr>
            <w:tcW w:w="81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jc w:val="left"/>
              <w:rPr>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0" w:hRule="atLeast"/>
          <w:jc w:val="center"/>
        </w:trPr>
        <w:tc>
          <w:tcPr>
            <w:tcW w:w="5805"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680" w:right="0" w:hanging="168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主动公开本市企业信用信息系统中的警示信息和良好信息等信息数</w:t>
            </w:r>
          </w:p>
        </w:tc>
        <w:tc>
          <w:tcPr>
            <w:tcW w:w="54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条</w:t>
            </w:r>
          </w:p>
        </w:tc>
        <w:tc>
          <w:tcPr>
            <w:tcW w:w="810"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jc w:val="left"/>
              <w:rPr>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5" w:hRule="atLeast"/>
          <w:jc w:val="center"/>
        </w:trPr>
        <w:tc>
          <w:tcPr>
            <w:tcW w:w="5805"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主动公开政府部门预算执行审计结果等信息数</w:t>
            </w:r>
          </w:p>
        </w:tc>
        <w:tc>
          <w:tcPr>
            <w:tcW w:w="54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条</w:t>
            </w:r>
          </w:p>
        </w:tc>
        <w:tc>
          <w:tcPr>
            <w:tcW w:w="81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jc w:val="left"/>
              <w:rPr>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jc w:val="center"/>
        </w:trPr>
        <w:tc>
          <w:tcPr>
            <w:tcW w:w="5805"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680" w:right="0" w:hanging="168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主动公开行政机关对与人民群众利益密切相关的公共企事业单位进行监督管理的信息数</w:t>
            </w:r>
          </w:p>
        </w:tc>
        <w:tc>
          <w:tcPr>
            <w:tcW w:w="54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条</w:t>
            </w:r>
          </w:p>
        </w:tc>
        <w:tc>
          <w:tcPr>
            <w:tcW w:w="81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jc w:val="left"/>
              <w:rPr>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主动公开市人民政府决定主动公开的其他信息数</w:t>
            </w:r>
          </w:p>
        </w:tc>
        <w:tc>
          <w:tcPr>
            <w:tcW w:w="54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条</w:t>
            </w:r>
          </w:p>
        </w:tc>
        <w:tc>
          <w:tcPr>
            <w:tcW w:w="81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1444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（三）通过不同渠道和方式公开政府信息的情况</w:t>
            </w:r>
          </w:p>
        </w:tc>
        <w:tc>
          <w:tcPr>
            <w:tcW w:w="540"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jc w:val="left"/>
              <w:rPr>
                <w:sz w:val="18"/>
                <w:szCs w:val="18"/>
              </w:rPr>
            </w:pPr>
          </w:p>
        </w:tc>
        <w:tc>
          <w:tcPr>
            <w:tcW w:w="810"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jc w:val="left"/>
              <w:rPr>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1.政府公报公开政府信息数</w:t>
            </w:r>
          </w:p>
        </w:tc>
        <w:tc>
          <w:tcPr>
            <w:tcW w:w="54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条</w:t>
            </w:r>
          </w:p>
        </w:tc>
        <w:tc>
          <w:tcPr>
            <w:tcW w:w="81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2.政府网站公开政府信息数</w:t>
            </w:r>
          </w:p>
        </w:tc>
        <w:tc>
          <w:tcPr>
            <w:tcW w:w="54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条</w:t>
            </w:r>
          </w:p>
        </w:tc>
        <w:tc>
          <w:tcPr>
            <w:tcW w:w="81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479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3.政务微博公开政府信息数</w:t>
            </w:r>
          </w:p>
        </w:tc>
        <w:tc>
          <w:tcPr>
            <w:tcW w:w="54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条</w:t>
            </w:r>
          </w:p>
        </w:tc>
        <w:tc>
          <w:tcPr>
            <w:tcW w:w="81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471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4.政务微信公开政府信息数</w:t>
            </w:r>
          </w:p>
        </w:tc>
        <w:tc>
          <w:tcPr>
            <w:tcW w:w="54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条</w:t>
            </w:r>
          </w:p>
        </w:tc>
        <w:tc>
          <w:tcPr>
            <w:tcW w:w="81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5.其他方式公开政府信息数</w:t>
            </w:r>
          </w:p>
        </w:tc>
        <w:tc>
          <w:tcPr>
            <w:tcW w:w="54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条</w:t>
            </w:r>
          </w:p>
        </w:tc>
        <w:tc>
          <w:tcPr>
            <w:tcW w:w="810"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jc w:val="left"/>
              <w:rPr>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黑体" w:hAnsi="宋体" w:eastAsia="黑体" w:cs="黑体"/>
                <w:sz w:val="24"/>
                <w:szCs w:val="24"/>
                <w:bdr w:val="none" w:color="auto" w:sz="0" w:space="0"/>
              </w:rPr>
              <w:t>二、回应解读情况</w:t>
            </w:r>
          </w:p>
        </w:tc>
        <w:tc>
          <w:tcPr>
            <w:tcW w:w="540"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jc w:val="left"/>
              <w:rPr>
                <w:sz w:val="18"/>
                <w:szCs w:val="18"/>
              </w:rPr>
            </w:pPr>
          </w:p>
        </w:tc>
        <w:tc>
          <w:tcPr>
            <w:tcW w:w="810"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jc w:val="left"/>
              <w:rPr>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jc w:val="center"/>
        </w:trPr>
        <w:tc>
          <w:tcPr>
            <w:tcW w:w="5805"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（一）回应公众关注热点或重大舆情数</w:t>
            </w:r>
            <w:r>
              <w:rPr>
                <w:rFonts w:hint="eastAsia" w:ascii="仿宋" w:hAnsi="仿宋" w:eastAsia="仿宋" w:cs="仿宋"/>
                <w:sz w:val="24"/>
                <w:szCs w:val="24"/>
                <w:bdr w:val="none" w:color="auto" w:sz="0" w:space="0"/>
              </w:rPr>
              <w:br w:type="textWrapping"/>
            </w:r>
            <w:r>
              <w:rPr>
                <w:rFonts w:hint="eastAsia" w:ascii="仿宋" w:hAnsi="仿宋" w:eastAsia="仿宋" w:cs="仿宋"/>
                <w:sz w:val="24"/>
                <w:szCs w:val="24"/>
                <w:bdr w:val="none" w:color="auto" w:sz="0" w:space="0"/>
              </w:rPr>
              <w:t>         （不同方式回应同一热点或舆情计1次）</w:t>
            </w:r>
          </w:p>
        </w:tc>
        <w:tc>
          <w:tcPr>
            <w:tcW w:w="54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次</w:t>
            </w:r>
          </w:p>
        </w:tc>
        <w:tc>
          <w:tcPr>
            <w:tcW w:w="810"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jc w:val="left"/>
              <w:rPr>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（二）通过不同渠道和方式回应解读的情况</w:t>
            </w:r>
          </w:p>
        </w:tc>
        <w:tc>
          <w:tcPr>
            <w:tcW w:w="540"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jc w:val="left"/>
              <w:rPr>
                <w:sz w:val="18"/>
                <w:szCs w:val="18"/>
              </w:rPr>
            </w:pPr>
          </w:p>
        </w:tc>
        <w:tc>
          <w:tcPr>
            <w:tcW w:w="810"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jc w:val="left"/>
              <w:rPr>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1.参加或举办新闻发布会总次数</w:t>
            </w:r>
          </w:p>
        </w:tc>
        <w:tc>
          <w:tcPr>
            <w:tcW w:w="54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次</w:t>
            </w:r>
          </w:p>
        </w:tc>
        <w:tc>
          <w:tcPr>
            <w:tcW w:w="810"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jc w:val="left"/>
              <w:rPr>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其中：主要负责同志参加新闻发布会次数</w:t>
            </w:r>
          </w:p>
        </w:tc>
        <w:tc>
          <w:tcPr>
            <w:tcW w:w="54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次</w:t>
            </w:r>
          </w:p>
        </w:tc>
        <w:tc>
          <w:tcPr>
            <w:tcW w:w="810"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jc w:val="left"/>
              <w:rPr>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2.政府网站在线访谈次数</w:t>
            </w:r>
          </w:p>
        </w:tc>
        <w:tc>
          <w:tcPr>
            <w:tcW w:w="54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次</w:t>
            </w:r>
          </w:p>
        </w:tc>
        <w:tc>
          <w:tcPr>
            <w:tcW w:w="810"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jc w:val="left"/>
              <w:rPr>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其中：主要负责同志参加政府网站在线访谈次数</w:t>
            </w:r>
          </w:p>
        </w:tc>
        <w:tc>
          <w:tcPr>
            <w:tcW w:w="54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次</w:t>
            </w:r>
          </w:p>
        </w:tc>
        <w:tc>
          <w:tcPr>
            <w:tcW w:w="810"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jc w:val="left"/>
              <w:rPr>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3.政策解读稿件发布数</w:t>
            </w:r>
          </w:p>
        </w:tc>
        <w:tc>
          <w:tcPr>
            <w:tcW w:w="54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篇</w:t>
            </w:r>
          </w:p>
        </w:tc>
        <w:tc>
          <w:tcPr>
            <w:tcW w:w="810"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jc w:val="left"/>
              <w:rPr>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4.微博微信回应事件数</w:t>
            </w:r>
          </w:p>
        </w:tc>
        <w:tc>
          <w:tcPr>
            <w:tcW w:w="54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次</w:t>
            </w:r>
          </w:p>
        </w:tc>
        <w:tc>
          <w:tcPr>
            <w:tcW w:w="810"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jc w:val="left"/>
              <w:rPr>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5.其他方式回应事件数</w:t>
            </w:r>
          </w:p>
        </w:tc>
        <w:tc>
          <w:tcPr>
            <w:tcW w:w="54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次</w:t>
            </w:r>
          </w:p>
        </w:tc>
        <w:tc>
          <w:tcPr>
            <w:tcW w:w="810"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jc w:val="left"/>
              <w:rPr>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黑体" w:hAnsi="宋体" w:eastAsia="黑体" w:cs="黑体"/>
                <w:sz w:val="24"/>
                <w:szCs w:val="24"/>
                <w:bdr w:val="none" w:color="auto" w:sz="0" w:space="0"/>
              </w:rPr>
              <w:t>三、依申请公开情况</w:t>
            </w:r>
          </w:p>
        </w:tc>
        <w:tc>
          <w:tcPr>
            <w:tcW w:w="540"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jc w:val="left"/>
              <w:rPr>
                <w:sz w:val="18"/>
                <w:szCs w:val="18"/>
              </w:rPr>
            </w:pPr>
          </w:p>
        </w:tc>
        <w:tc>
          <w:tcPr>
            <w:tcW w:w="81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宋体" w:hAnsi="宋体" w:eastAsia="宋体" w:cs="宋体"/>
                <w:sz w:val="24"/>
                <w:szCs w:val="24"/>
                <w:bdr w:val="none" w:color="auto" w:sz="0" w:space="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（一）收到申请数</w:t>
            </w:r>
          </w:p>
        </w:tc>
        <w:tc>
          <w:tcPr>
            <w:tcW w:w="54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件</w:t>
            </w:r>
          </w:p>
        </w:tc>
        <w:tc>
          <w:tcPr>
            <w:tcW w:w="81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1.当面申请数</w:t>
            </w:r>
          </w:p>
        </w:tc>
        <w:tc>
          <w:tcPr>
            <w:tcW w:w="54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件</w:t>
            </w:r>
          </w:p>
        </w:tc>
        <w:tc>
          <w:tcPr>
            <w:tcW w:w="810"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jc w:val="left"/>
              <w:rPr>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2.传真申请数</w:t>
            </w:r>
          </w:p>
        </w:tc>
        <w:tc>
          <w:tcPr>
            <w:tcW w:w="54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件</w:t>
            </w:r>
          </w:p>
        </w:tc>
        <w:tc>
          <w:tcPr>
            <w:tcW w:w="810"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jc w:val="left"/>
              <w:rPr>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3.网络申请数</w:t>
            </w:r>
          </w:p>
        </w:tc>
        <w:tc>
          <w:tcPr>
            <w:tcW w:w="54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件</w:t>
            </w:r>
          </w:p>
        </w:tc>
        <w:tc>
          <w:tcPr>
            <w:tcW w:w="810"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jc w:val="left"/>
              <w:rPr>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4.信函申请数</w:t>
            </w:r>
          </w:p>
        </w:tc>
        <w:tc>
          <w:tcPr>
            <w:tcW w:w="54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件</w:t>
            </w:r>
          </w:p>
        </w:tc>
        <w:tc>
          <w:tcPr>
            <w:tcW w:w="81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（二）申请办结数</w:t>
            </w:r>
          </w:p>
        </w:tc>
        <w:tc>
          <w:tcPr>
            <w:tcW w:w="54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件</w:t>
            </w:r>
          </w:p>
        </w:tc>
        <w:tc>
          <w:tcPr>
            <w:tcW w:w="81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1.按时办结数</w:t>
            </w:r>
          </w:p>
        </w:tc>
        <w:tc>
          <w:tcPr>
            <w:tcW w:w="54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件</w:t>
            </w:r>
          </w:p>
        </w:tc>
        <w:tc>
          <w:tcPr>
            <w:tcW w:w="81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2.延期办结数</w:t>
            </w:r>
          </w:p>
        </w:tc>
        <w:tc>
          <w:tcPr>
            <w:tcW w:w="54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件</w:t>
            </w:r>
          </w:p>
        </w:tc>
        <w:tc>
          <w:tcPr>
            <w:tcW w:w="810"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jc w:val="left"/>
              <w:rPr>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（三）申请答复数</w:t>
            </w:r>
          </w:p>
        </w:tc>
        <w:tc>
          <w:tcPr>
            <w:tcW w:w="54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件</w:t>
            </w:r>
          </w:p>
        </w:tc>
        <w:tc>
          <w:tcPr>
            <w:tcW w:w="81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1.属于已主动公开范围数</w:t>
            </w:r>
          </w:p>
        </w:tc>
        <w:tc>
          <w:tcPr>
            <w:tcW w:w="54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件</w:t>
            </w:r>
          </w:p>
        </w:tc>
        <w:tc>
          <w:tcPr>
            <w:tcW w:w="810"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jc w:val="left"/>
              <w:rPr>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2.同意公开答复数</w:t>
            </w:r>
          </w:p>
        </w:tc>
        <w:tc>
          <w:tcPr>
            <w:tcW w:w="54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件</w:t>
            </w:r>
          </w:p>
        </w:tc>
        <w:tc>
          <w:tcPr>
            <w:tcW w:w="81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3.同意部分公开答复数</w:t>
            </w:r>
          </w:p>
        </w:tc>
        <w:tc>
          <w:tcPr>
            <w:tcW w:w="54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件</w:t>
            </w:r>
          </w:p>
        </w:tc>
        <w:tc>
          <w:tcPr>
            <w:tcW w:w="810"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jc w:val="left"/>
              <w:rPr>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4.不同意公开答复数</w:t>
            </w:r>
          </w:p>
        </w:tc>
        <w:tc>
          <w:tcPr>
            <w:tcW w:w="54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件</w:t>
            </w:r>
          </w:p>
        </w:tc>
        <w:tc>
          <w:tcPr>
            <w:tcW w:w="810"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jc w:val="left"/>
              <w:rPr>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其中：涉及国家秘密</w:t>
            </w:r>
          </w:p>
        </w:tc>
        <w:tc>
          <w:tcPr>
            <w:tcW w:w="54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件</w:t>
            </w:r>
          </w:p>
        </w:tc>
        <w:tc>
          <w:tcPr>
            <w:tcW w:w="810"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jc w:val="left"/>
              <w:rPr>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涉及商业秘密</w:t>
            </w:r>
          </w:p>
        </w:tc>
        <w:tc>
          <w:tcPr>
            <w:tcW w:w="54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件</w:t>
            </w:r>
          </w:p>
        </w:tc>
        <w:tc>
          <w:tcPr>
            <w:tcW w:w="810"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jc w:val="left"/>
              <w:rPr>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涉及个人隐私</w:t>
            </w:r>
          </w:p>
        </w:tc>
        <w:tc>
          <w:tcPr>
            <w:tcW w:w="54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件</w:t>
            </w:r>
          </w:p>
        </w:tc>
        <w:tc>
          <w:tcPr>
            <w:tcW w:w="810"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jc w:val="left"/>
              <w:rPr>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400" w:right="0" w:hanging="240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危及国家安全、公共安全、经济安全和社会稳定</w:t>
            </w:r>
          </w:p>
        </w:tc>
        <w:tc>
          <w:tcPr>
            <w:tcW w:w="54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件</w:t>
            </w:r>
          </w:p>
        </w:tc>
        <w:tc>
          <w:tcPr>
            <w:tcW w:w="810"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jc w:val="left"/>
              <w:rPr>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不是《条例》所指政府信息</w:t>
            </w:r>
          </w:p>
        </w:tc>
        <w:tc>
          <w:tcPr>
            <w:tcW w:w="54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件</w:t>
            </w:r>
          </w:p>
        </w:tc>
        <w:tc>
          <w:tcPr>
            <w:tcW w:w="810"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jc w:val="left"/>
              <w:rPr>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法律法规规定的其他情形</w:t>
            </w:r>
          </w:p>
        </w:tc>
        <w:tc>
          <w:tcPr>
            <w:tcW w:w="54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件</w:t>
            </w:r>
          </w:p>
        </w:tc>
        <w:tc>
          <w:tcPr>
            <w:tcW w:w="810"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jc w:val="left"/>
              <w:rPr>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5.不属于本行政机关公开数</w:t>
            </w:r>
          </w:p>
        </w:tc>
        <w:tc>
          <w:tcPr>
            <w:tcW w:w="54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件</w:t>
            </w:r>
          </w:p>
        </w:tc>
        <w:tc>
          <w:tcPr>
            <w:tcW w:w="810"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jc w:val="left"/>
              <w:rPr>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6.申请信息不存在数</w:t>
            </w:r>
          </w:p>
        </w:tc>
        <w:tc>
          <w:tcPr>
            <w:tcW w:w="54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件</w:t>
            </w:r>
          </w:p>
        </w:tc>
        <w:tc>
          <w:tcPr>
            <w:tcW w:w="810"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jc w:val="left"/>
              <w:rPr>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7.告知作出更改补充数</w:t>
            </w:r>
          </w:p>
        </w:tc>
        <w:tc>
          <w:tcPr>
            <w:tcW w:w="54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件</w:t>
            </w:r>
          </w:p>
        </w:tc>
        <w:tc>
          <w:tcPr>
            <w:tcW w:w="810"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jc w:val="left"/>
              <w:rPr>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8.告知通过其他途径办理数</w:t>
            </w:r>
          </w:p>
        </w:tc>
        <w:tc>
          <w:tcPr>
            <w:tcW w:w="54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件</w:t>
            </w:r>
          </w:p>
        </w:tc>
        <w:tc>
          <w:tcPr>
            <w:tcW w:w="810"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jc w:val="left"/>
              <w:rPr>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黑体" w:hAnsi="宋体" w:eastAsia="黑体" w:cs="黑体"/>
                <w:sz w:val="24"/>
                <w:szCs w:val="24"/>
                <w:bdr w:val="none" w:color="auto" w:sz="0" w:space="0"/>
              </w:rPr>
              <w:t>四、行政复议数量</w:t>
            </w:r>
          </w:p>
        </w:tc>
        <w:tc>
          <w:tcPr>
            <w:tcW w:w="54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sz w:val="24"/>
                <w:szCs w:val="24"/>
                <w:bdr w:val="none" w:color="auto" w:sz="0" w:space="0"/>
              </w:rPr>
              <w:t>件</w:t>
            </w:r>
          </w:p>
        </w:tc>
        <w:tc>
          <w:tcPr>
            <w:tcW w:w="810"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jc w:val="left"/>
              <w:rPr>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（一）维持具体行政行为数</w:t>
            </w:r>
          </w:p>
        </w:tc>
        <w:tc>
          <w:tcPr>
            <w:tcW w:w="54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件</w:t>
            </w:r>
          </w:p>
        </w:tc>
        <w:tc>
          <w:tcPr>
            <w:tcW w:w="810"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jc w:val="left"/>
              <w:rPr>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（二）被依法纠错数</w:t>
            </w:r>
          </w:p>
        </w:tc>
        <w:tc>
          <w:tcPr>
            <w:tcW w:w="54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件</w:t>
            </w:r>
          </w:p>
        </w:tc>
        <w:tc>
          <w:tcPr>
            <w:tcW w:w="810"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jc w:val="left"/>
              <w:rPr>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（三）其他情形数（含未审结162件）</w:t>
            </w:r>
          </w:p>
        </w:tc>
        <w:tc>
          <w:tcPr>
            <w:tcW w:w="54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件</w:t>
            </w:r>
          </w:p>
        </w:tc>
        <w:tc>
          <w:tcPr>
            <w:tcW w:w="810"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jc w:val="left"/>
              <w:rPr>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黑体" w:hAnsi="宋体" w:eastAsia="黑体" w:cs="黑体"/>
                <w:sz w:val="24"/>
                <w:szCs w:val="24"/>
                <w:bdr w:val="none" w:color="auto" w:sz="0" w:space="0"/>
              </w:rPr>
              <w:t>五、行政诉讼数量</w:t>
            </w:r>
          </w:p>
        </w:tc>
        <w:tc>
          <w:tcPr>
            <w:tcW w:w="54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sz w:val="24"/>
                <w:szCs w:val="24"/>
                <w:bdr w:val="none" w:color="auto" w:sz="0" w:space="0"/>
              </w:rPr>
              <w:t>件</w:t>
            </w:r>
          </w:p>
        </w:tc>
        <w:tc>
          <w:tcPr>
            <w:tcW w:w="810"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jc w:val="left"/>
              <w:rPr>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黑体" w:hAnsi="宋体" w:eastAsia="黑体" w:cs="黑体"/>
                <w:sz w:val="24"/>
                <w:szCs w:val="24"/>
                <w:bdr w:val="none" w:color="auto" w:sz="0" w:space="0"/>
              </w:rPr>
              <w:t>  </w:t>
            </w:r>
            <w:r>
              <w:rPr>
                <w:rFonts w:hint="eastAsia" w:ascii="仿宋" w:hAnsi="仿宋" w:eastAsia="仿宋" w:cs="仿宋"/>
                <w:sz w:val="24"/>
                <w:szCs w:val="24"/>
                <w:bdr w:val="none" w:color="auto" w:sz="0" w:space="0"/>
              </w:rPr>
              <w:t>（一）一审案件数量</w:t>
            </w:r>
          </w:p>
        </w:tc>
        <w:tc>
          <w:tcPr>
            <w:tcW w:w="54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sz w:val="24"/>
                <w:szCs w:val="24"/>
                <w:bdr w:val="none" w:color="auto" w:sz="0" w:space="0"/>
              </w:rPr>
              <w:t>件</w:t>
            </w:r>
          </w:p>
        </w:tc>
        <w:tc>
          <w:tcPr>
            <w:tcW w:w="810"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jc w:val="left"/>
              <w:rPr>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1．维持具体行政行为或者驳回原告诉讼请求数</w:t>
            </w:r>
          </w:p>
        </w:tc>
        <w:tc>
          <w:tcPr>
            <w:tcW w:w="54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件</w:t>
            </w:r>
          </w:p>
        </w:tc>
        <w:tc>
          <w:tcPr>
            <w:tcW w:w="810"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jc w:val="left"/>
              <w:rPr>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2．被依法纠错数</w:t>
            </w:r>
          </w:p>
        </w:tc>
        <w:tc>
          <w:tcPr>
            <w:tcW w:w="54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件</w:t>
            </w:r>
          </w:p>
        </w:tc>
        <w:tc>
          <w:tcPr>
            <w:tcW w:w="810"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jc w:val="left"/>
              <w:rPr>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3．其他情形数（含未审结113件）</w:t>
            </w:r>
          </w:p>
        </w:tc>
        <w:tc>
          <w:tcPr>
            <w:tcW w:w="54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件</w:t>
            </w:r>
          </w:p>
        </w:tc>
        <w:tc>
          <w:tcPr>
            <w:tcW w:w="810"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jc w:val="left"/>
              <w:rPr>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（二）二审案件数量</w:t>
            </w:r>
          </w:p>
        </w:tc>
        <w:tc>
          <w:tcPr>
            <w:tcW w:w="54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sz w:val="24"/>
                <w:szCs w:val="24"/>
                <w:bdr w:val="none" w:color="auto" w:sz="0" w:space="0"/>
              </w:rPr>
              <w:t>件</w:t>
            </w:r>
          </w:p>
        </w:tc>
        <w:tc>
          <w:tcPr>
            <w:tcW w:w="810"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jc w:val="left"/>
              <w:rPr>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黑体" w:hAnsi="宋体" w:eastAsia="黑体" w:cs="黑体"/>
                <w:sz w:val="24"/>
                <w:szCs w:val="24"/>
                <w:bdr w:val="none" w:color="auto" w:sz="0" w:space="0"/>
              </w:rPr>
              <w:t>六、举报投诉数量</w:t>
            </w:r>
          </w:p>
        </w:tc>
        <w:tc>
          <w:tcPr>
            <w:tcW w:w="54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sz w:val="24"/>
                <w:szCs w:val="24"/>
                <w:bdr w:val="none" w:color="auto" w:sz="0" w:space="0"/>
              </w:rPr>
              <w:t>件</w:t>
            </w:r>
          </w:p>
        </w:tc>
        <w:tc>
          <w:tcPr>
            <w:tcW w:w="810"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jc w:val="left"/>
              <w:rPr>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黑体" w:hAnsi="宋体" w:eastAsia="黑体" w:cs="黑体"/>
                <w:sz w:val="24"/>
                <w:szCs w:val="24"/>
                <w:bdr w:val="none" w:color="auto" w:sz="0" w:space="0"/>
              </w:rPr>
              <w:t>七、依申请公开信息收取的费用</w:t>
            </w:r>
          </w:p>
        </w:tc>
        <w:tc>
          <w:tcPr>
            <w:tcW w:w="54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sz w:val="24"/>
                <w:szCs w:val="24"/>
                <w:bdr w:val="none" w:color="auto" w:sz="0" w:space="0"/>
              </w:rPr>
              <w:t>万元</w:t>
            </w:r>
          </w:p>
        </w:tc>
        <w:tc>
          <w:tcPr>
            <w:tcW w:w="810"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jc w:val="left"/>
              <w:rPr>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黑体" w:hAnsi="宋体" w:eastAsia="黑体" w:cs="黑体"/>
                <w:sz w:val="24"/>
                <w:szCs w:val="24"/>
                <w:bdr w:val="none" w:color="auto" w:sz="0" w:space="0"/>
              </w:rPr>
              <w:t>八、机构建设和保障经费情况</w:t>
            </w:r>
          </w:p>
        </w:tc>
        <w:tc>
          <w:tcPr>
            <w:tcW w:w="540"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jc w:val="left"/>
              <w:rPr>
                <w:sz w:val="18"/>
                <w:szCs w:val="18"/>
              </w:rPr>
            </w:pPr>
          </w:p>
        </w:tc>
        <w:tc>
          <w:tcPr>
            <w:tcW w:w="810"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jc w:val="left"/>
              <w:rPr>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（一）政府信息公开工作专门机构数</w:t>
            </w:r>
          </w:p>
        </w:tc>
        <w:tc>
          <w:tcPr>
            <w:tcW w:w="54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个</w:t>
            </w:r>
          </w:p>
        </w:tc>
        <w:tc>
          <w:tcPr>
            <w:tcW w:w="81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（二）设置政府信息公开查阅点数</w:t>
            </w:r>
          </w:p>
        </w:tc>
        <w:tc>
          <w:tcPr>
            <w:tcW w:w="54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个</w:t>
            </w:r>
          </w:p>
        </w:tc>
        <w:tc>
          <w:tcPr>
            <w:tcW w:w="81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（三）从事政府信息公开工作人员数</w:t>
            </w:r>
          </w:p>
        </w:tc>
        <w:tc>
          <w:tcPr>
            <w:tcW w:w="54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人</w:t>
            </w:r>
          </w:p>
        </w:tc>
        <w:tc>
          <w:tcPr>
            <w:tcW w:w="81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1.专职人员数（不包括政府公报及政府网站工作人员数）</w:t>
            </w:r>
          </w:p>
        </w:tc>
        <w:tc>
          <w:tcPr>
            <w:tcW w:w="54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人</w:t>
            </w:r>
          </w:p>
        </w:tc>
        <w:tc>
          <w:tcPr>
            <w:tcW w:w="81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2.兼职人员数</w:t>
            </w:r>
          </w:p>
        </w:tc>
        <w:tc>
          <w:tcPr>
            <w:tcW w:w="54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人</w:t>
            </w:r>
          </w:p>
        </w:tc>
        <w:tc>
          <w:tcPr>
            <w:tcW w:w="81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jc w:val="center"/>
        </w:trPr>
        <w:tc>
          <w:tcPr>
            <w:tcW w:w="5805"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960" w:right="0" w:hanging="96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（四）政府信息公开专项经费（不包括用于政府公报编辑管理及政府网站建设维护等方面的经费）</w:t>
            </w:r>
          </w:p>
        </w:tc>
        <w:tc>
          <w:tcPr>
            <w:tcW w:w="54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万元</w:t>
            </w:r>
          </w:p>
        </w:tc>
        <w:tc>
          <w:tcPr>
            <w:tcW w:w="81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黑体" w:hAnsi="宋体" w:eastAsia="黑体" w:cs="黑体"/>
                <w:sz w:val="24"/>
                <w:szCs w:val="24"/>
                <w:bdr w:val="none" w:color="auto" w:sz="0" w:space="0"/>
              </w:rPr>
              <w:t>九、政府信息公开会议和培训情况</w:t>
            </w:r>
          </w:p>
        </w:tc>
        <w:tc>
          <w:tcPr>
            <w:tcW w:w="540"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jc w:val="left"/>
              <w:rPr>
                <w:sz w:val="18"/>
                <w:szCs w:val="18"/>
              </w:rPr>
            </w:pPr>
          </w:p>
        </w:tc>
        <w:tc>
          <w:tcPr>
            <w:tcW w:w="810"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jc w:val="left"/>
              <w:rPr>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（一）召开政府信息公开工作会议或专题会议数</w:t>
            </w:r>
          </w:p>
        </w:tc>
        <w:tc>
          <w:tcPr>
            <w:tcW w:w="54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次</w:t>
            </w:r>
          </w:p>
        </w:tc>
        <w:tc>
          <w:tcPr>
            <w:tcW w:w="81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（二）举办各类培训班数</w:t>
            </w:r>
          </w:p>
        </w:tc>
        <w:tc>
          <w:tcPr>
            <w:tcW w:w="54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次</w:t>
            </w:r>
          </w:p>
        </w:tc>
        <w:tc>
          <w:tcPr>
            <w:tcW w:w="81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（三）接受培训人员数</w:t>
            </w:r>
          </w:p>
        </w:tc>
        <w:tc>
          <w:tcPr>
            <w:tcW w:w="54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人次</w:t>
            </w:r>
          </w:p>
        </w:tc>
        <w:tc>
          <w:tcPr>
            <w:tcW w:w="81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2</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3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2"/>
          <w:szCs w:val="32"/>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2"/>
          <w:szCs w:val="32"/>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2"/>
          <w:szCs w:val="32"/>
          <w:bdr w:val="none" w:color="auto" w:sz="0" w:space="0"/>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B60B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炫    飛</cp:lastModifiedBy>
  <dcterms:modified xsi:type="dcterms:W3CDTF">2021-03-03T06:38:13Z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2052-11.1.0.10337</vt:lpwstr>
  </property>
  <property fmtid="{D5CDD505-2E9C-101B-9397-08002B2CF9AE}" pid="3" name="ICV">
    <vt:lpwstr>001558AE20FC4A5D9CB582558763E6C9</vt:lpwstr>
  </property>
</Properties>
</file>