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ascii="黑体" w:hAnsi="宋体" w:eastAsia="黑体" w:cs="黑体"/>
          <w:b/>
          <w:bCs/>
          <w:i w:val="0"/>
          <w:iCs w:val="0"/>
          <w:caps w:val="0"/>
          <w:color w:val="000000"/>
          <w:spacing w:val="0"/>
          <w:sz w:val="32"/>
          <w:szCs w:val="32"/>
          <w:shd w:val="clear" w:fill="FFFFFF"/>
        </w:rPr>
        <w:t>2013</w:t>
      </w:r>
      <w:r>
        <w:rPr>
          <w:rFonts w:hint="eastAsia" w:ascii="黑体" w:hAnsi="宋体" w:eastAsia="黑体" w:cs="黑体"/>
          <w:b/>
          <w:bCs/>
          <w:i w:val="0"/>
          <w:iCs w:val="0"/>
          <w:caps w:val="0"/>
          <w:color w:val="000000"/>
          <w:spacing w:val="0"/>
          <w:sz w:val="32"/>
          <w:szCs w:val="32"/>
          <w:shd w:val="clear" w:fill="FFFFFF"/>
        </w:rPr>
        <w:t>年西城区外事办政府信息公开年度报告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bookmarkStart w:id="0" w:name="_GoBack"/>
      <w:bookmarkEnd w:id="0"/>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本报告是根据《中华人民共和国政府信息公开条例》（以下简称《条例》）要求，由西城区外事办编制的2013年度政府信息公开年度报告。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区政府网站（http://www.bjxch.gov.cn）政府信息公开专栏上可下载本报告的电子版。如对本报告有任何疑问，请联系：西城区外事办涉外管理科 88064597。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了1名兼职工作人员，设立了1个专门的信息申请受理点，并开辟了西城区外事办网站。截至2013年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本单位2013年共主动公开政府信息63条，其中全文电子化率达100%。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4条，占总体的比例为6%；法规文件类信息4条，为出入境管理相关法规文件内容，占总体的比例为6%；规划计划类信息0条，占总体的比例为0%；行政职责类信息0条，占总体的比例为0%；业务动态类信息35条，为全区本年度外事工作动态介绍，占总体的比例为56%；工作总结类信息占2条，为上两年区外事工作大事记，占总体比例为3%；外事业务知识类信息18条，为友城介绍及外事知识，占总体比例为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主动公开政府信息的形式上做了开通西城区外事办外网（http://wsb.bjxch.gov.cn/）的工作，公众可直接访问该网站了解关于西城外事办及西城外事工作的相关信息。同时，西城外事办积极通过新闻发布会、缤纷西城、西城报及北京西城微博宣传2013年举办国际民间友好论坛情况；向西城报、市外办官网、市外办及市友协刊物投稿（共被采用20余篇），报道我区外事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本单位2013年度共收到政府信息公开申请0件，同上年相比，增加0条。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本单位从事政府信息公开工作的全职人员共0人，同上年相比，增加（减少）0人；兼职人员共1人，同上年相比，增加（减少）0人。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由于党组高度重视信息公开工作，配备兼职人员，西城区外事办政府信息公开工作的质量和数量有较大提升，基本满足了民众知晓并监督全区外事工作的需求。下一步，还将继续改进信息公开的及时性，创新信息公开形式，拓展外事办网站功能，尝试将其与涉外管理工作进行有机结合，更好地践行“外事为民”的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八、说明与附图附表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82"/>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附图一：本单位近年政府信息主动公开数量变化情况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附表一：主动公开情况统计</w:t>
      </w:r>
    </w:p>
    <w:tbl>
      <w:tblPr>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60"/>
        <w:gridCol w:w="924"/>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7" w:hRule="atLeast"/>
        </w:trPr>
        <w:tc>
          <w:tcPr>
            <w:tcW w:w="58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    </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92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271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主动公开信息数</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其中：全文电子化的主动公开信息数</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5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新增的行政规范性文件数</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附表二：人员与支出情况统计</w:t>
      </w:r>
    </w:p>
    <w:tbl>
      <w:tblPr>
        <w:tblW w:w="10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28"/>
        <w:gridCol w:w="1121"/>
        <w:gridCol w:w="3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8" w:hRule="atLeast"/>
          <w:jc w:val="center"/>
        </w:trPr>
        <w:tc>
          <w:tcPr>
            <w:tcW w:w="65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112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326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依申请提供政府信息收取费用总额</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依申请提供政府信息减免收费总额</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与行政诉讼有关的费用支出总额</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政府信息公开指定专职人员总数</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w:t>
            </w:r>
            <w:r>
              <w:rPr>
                <w:rFonts w:hint="eastAsia" w:ascii="仿宋" w:hAnsi="仿宋" w:eastAsia="仿宋" w:cs="仿宋"/>
                <w:sz w:val="21"/>
                <w:szCs w:val="21"/>
                <w:bdr w:val="none" w:color="auto" w:sz="0" w:space="0"/>
              </w:rPr>
              <w:t>1.</w:t>
            </w:r>
            <w:r>
              <w:rPr>
                <w:rFonts w:hint="eastAsia" w:ascii="宋体" w:hAnsi="宋体" w:eastAsia="宋体" w:cs="宋体"/>
                <w:sz w:val="21"/>
                <w:szCs w:val="21"/>
                <w:bdr w:val="none" w:color="auto" w:sz="0" w:space="0"/>
              </w:rPr>
              <w:t>全职人员数</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8" w:hRule="atLeast"/>
          <w:jc w:val="center"/>
        </w:trPr>
        <w:tc>
          <w:tcPr>
            <w:tcW w:w="6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兼职人员数</w:t>
            </w:r>
          </w:p>
        </w:tc>
        <w:tc>
          <w:tcPr>
            <w:tcW w:w="1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26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51A8B"/>
    <w:rsid w:val="69D9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76B8764A3315495EBE83E77ADE48E0EA</vt:lpwstr>
  </property>
</Properties>
</file>