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b/>
          <w:bCs/>
          <w:sz w:val="36"/>
          <w:szCs w:val="36"/>
        </w:rPr>
      </w:pPr>
      <w:r>
        <w:rPr>
          <w:b/>
          <w:bCs/>
          <w:sz w:val="36"/>
          <w:szCs w:val="36"/>
        </w:rPr>
        <w:t>北京市西城区政务服务管理办公室2018年政府信息公开工作年度报告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bookmarkStart w:id="0" w:name="_GoBack"/>
      <w:bookmarkEnd w:id="0"/>
      <w:r>
        <w:rPr>
          <w:rFonts w:hint="eastAsia" w:ascii="宋体" w:hAnsi="宋体" w:eastAsia="宋体" w:cs="宋体"/>
          <w:sz w:val="24"/>
          <w:szCs w:val="24"/>
          <w:bdr w:val="none" w:color="auto" w:sz="0" w:space="0"/>
        </w:rPr>
        <w:t>本报告根据《中华人民共和国政府信息公开条例》和《北京市政府信息公开规定》要求,由西城区政务服务管理办公室编制的2018年度政府信息公开工作年度报告。全文包括西城区政务服务管理办公室2018年政府信息公开工作情况、信息公开数据、重点领域信息公开情况、存在不足及改进措施,以及主动公开、依申请公开等政府信息公开相关数据。本报告中所列数据的统计期限自2018年1月1日起,至2018年12月31日止。本报告的电子版可在北京西城网站(</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"http://www.bjxch.gov.cn/"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t>HTTP://WWW.bjxch.gov.cn</w:t>
      </w:r>
      <w:r>
        <w:rPr>
          <w:rFonts w:hint="eastAsia" w:ascii="宋体" w:hAnsi="宋体" w:eastAsia="宋体" w:cs="宋体"/>
          <w:sz w:val="24"/>
          <w:szCs w:val="24"/>
          <w:bdr w:val="none" w:color="auto" w:sz="0" w:space="0"/>
        </w:rPr>
        <w:fldChar w:fldCharType="end"/>
      </w:r>
      <w:r>
        <w:rPr>
          <w:rFonts w:hint="eastAsia" w:ascii="宋体" w:hAnsi="宋体" w:eastAsia="宋体" w:cs="宋体"/>
          <w:sz w:val="24"/>
          <w:szCs w:val="24"/>
          <w:bdr w:val="none" w:color="auto" w:sz="0" w:space="0"/>
        </w:rPr>
        <w:t>)的政府信息公开专栏中下载。如对报告有疑问,请与西城区政务服务管理办公室联系(地址:北京市西城区西直门内大街275号邮编:100035;联系电话:010-82141607)。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2018年,区政务服务办全面深入学习贯彻党的十九大精神,以习近平新时代中国特色社会主义思想为指引,以习近平总书记视察北京重要讲话为根本遵循,认真贯彻落实西城区2018年政务公开工作要点,持续强化制度机制建设、着力推动政策深入解读、努力拓展公开平台渠道,政府信息与政务公开工作取得显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一、政府信息公开工作情况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一是强化管理机制保障。制定《2018年政务公开工作任务分工方案》,明确信息员、上报信息的时间、节点、数量。落实责任、加强监督。加强政府公文公开属性源头管理。在本单位起草政策性文件时,在机关发文批办单上设置公开属性。二是制定“政务公开全清单”。按照区政府统一工作部署,根据调整后的新三定职责和领导、科室分工,在2017年政务公开全清单基础上,进行了重新梳理。依据“公开为常态,不公开为例外”的原则,对重点工作任务进行了事项分解,逐项确定公开属性,对产生信息的公开来源、类别、依据、标准、形式、类型等进行了明确。三是拓展政务公开平台。持续深化会议开放,邀请特邀监督员参加主任办公会,为更好的推进审批服务事项公开利企便民诊脉把关;持续拓展政府开放日,邀请街道居民代表,征求西城区落实“放管服”改革的意见建议;召开企业征求意见座谈会,全面深入了解企业需求,征集具体办理事项中遇到的问题及意见建议;将部门一把手接听政府热线活动固化为常态工作,共9次37家单位一把手接听受理各类问题306件。解决率68.87%,反馈率88.74%,满意度67.22%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二、信息公开数据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2018年主动公开政府信息数274件。主动公开规范性文件5件:制发规范性文件2件。重点领域公开政府信息数73件。其中,主动公开财政预算决算、“三公经费”和行政经费信息数10条;主动公开其他信息63条。通过不同渠道和方式公开政府信息的情况,政府网站公开政府信息数274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1.申请情况申请总数为4件。申请方式中,当面申请2件,通过网络提交申请1件,以信函形式申请1件。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2.答复情况4件申请已全部按期答复。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(三)行政复议、诉讼及举报情况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2018年,针对本单位政府信息公开的行政复议申请0件,政府信息公开被诉讼0件,投诉举报0件。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(四)同级人大代表建议和政协委员提案办理结果公开情况办理同级人大代表建议和政协委员提案0件。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(五)机构建设及保障培训情况设置政府信息公开查阅点1个。政府信息公开专项经费0元。从事政府信息公开工作兼职人员1名。参加信息公开培训1人次。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三、存在的不足及2019年重点工作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(六)存在的不足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一是信息质量还需进一步加强;二是信息公开工作人员的服务能力和服务水平仍有待提升;三是依申请工作还需进一步加强。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(七)2019年重点工作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一是加强政府信息公开工作的学习和培训,进一步提高认识,积极主动做好公开工作。二是认真做好依申请受理工作,保持信函、电子邮件等申请渠道畅通并及时给予答复,同时进一步提升答复的合法化、规范化;三是进一步提高信息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p>
    <w:tbl>
      <w:tblP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95"/>
        <w:gridCol w:w="870"/>
        <w:gridCol w:w="4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95" w:hRule="atLeast"/>
        </w:trPr>
        <w:tc>
          <w:tcPr>
            <w:tcW w:w="9060" w:type="dxa"/>
            <w:gridSpan w:val="3"/>
            <w:tcBorders>
              <w:top w:val="nil"/>
              <w:left w:val="nil"/>
              <w:bottom w:val="nil"/>
              <w:right w:val="nil"/>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ottom"/>
            </w:pPr>
            <w:r>
              <w:rPr>
                <w:rStyle w:val="5"/>
                <w:rFonts w:ascii="Arial" w:hAnsi="Arial" w:eastAsia="宋体" w:cs="Arial"/>
                <w:color w:val="FF8080"/>
                <w:sz w:val="24"/>
                <w:szCs w:val="24"/>
                <w:bdr w:val="none" w:color="auto" w:sz="0" w:space="0"/>
              </w:rPr>
              <w:t>政府信息公开情况统计表 </w:t>
            </w:r>
            <w:r>
              <w:rPr>
                <w:rStyle w:val="5"/>
                <w:rFonts w:hint="default" w:ascii="Arial" w:hAnsi="Arial" w:eastAsia="宋体" w:cs="Arial"/>
                <w:color w:val="FF8080"/>
                <w:sz w:val="24"/>
                <w:szCs w:val="24"/>
                <w:bdr w:val="none" w:color="auto" w:sz="0" w:space="0"/>
              </w:rPr>
              <w:br w:type="textWrapping"/>
            </w:r>
            <w:r>
              <w:rPr>
                <w:rStyle w:val="5"/>
                <w:rFonts w:hint="default" w:ascii="Arial" w:hAnsi="Arial" w:eastAsia="宋体" w:cs="Arial"/>
                <w:color w:val="FF8080"/>
                <w:sz w:val="24"/>
                <w:szCs w:val="24"/>
                <w:bdr w:val="none" w:color="auto" w:sz="0" w:space="0"/>
              </w:rPr>
              <w:t>（2018</w:t>
            </w:r>
            <w:r>
              <w:rPr>
                <w:rStyle w:val="5"/>
                <w:rFonts w:hint="eastAsia" w:ascii="宋体" w:hAnsi="宋体" w:eastAsia="宋体" w:cs="宋体"/>
                <w:color w:val="FF8080"/>
                <w:sz w:val="24"/>
                <w:szCs w:val="24"/>
                <w:bdr w:val="none" w:color="auto" w:sz="0" w:space="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095" w:type="dxa"/>
            <w:tcBorders>
              <w:top w:val="nil"/>
              <w:left w:val="nil"/>
              <w:bottom w:val="nil"/>
              <w:right w:val="nil"/>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填报单位（盖章）：</w:t>
            </w:r>
          </w:p>
        </w:tc>
        <w:tc>
          <w:tcPr>
            <w:tcW w:w="870" w:type="dxa"/>
            <w:tcBorders>
              <w:top w:val="nil"/>
              <w:left w:val="nil"/>
              <w:bottom w:val="nil"/>
              <w:right w:val="nil"/>
            </w:tcBorders>
            <w:shd w:val="clear"/>
            <w:noWrap/>
            <w:vAlign w:val="bottom"/>
          </w:tcPr>
          <w:p>
            <w:pPr>
              <w:keepNext w:val="0"/>
              <w:keepLines w:val="0"/>
              <w:widowControl/>
              <w:suppressLineNumbers w:val="0"/>
              <w:jc w:val="left"/>
              <w:rPr>
                <w:rFonts w:hint="eastAsia" w:ascii="宋体" w:hAnsi="宋体" w:eastAsia="宋体" w:cs="宋体"/>
                <w:sz w:val="18"/>
                <w:szCs w:val="18"/>
              </w:rPr>
            </w:pPr>
          </w:p>
        </w:tc>
        <w:tc>
          <w:tcPr>
            <w:tcW w:w="4095" w:type="dxa"/>
            <w:tcBorders>
              <w:top w:val="nil"/>
              <w:left w:val="nil"/>
              <w:bottom w:val="nil"/>
              <w:right w:val="nil"/>
            </w:tcBorders>
            <w:shd w:val="clear"/>
            <w:noWrap/>
            <w:vAlign w:val="bottom"/>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single" w:color="000000" w:sz="6" w:space="0"/>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统 计 指 标</w:t>
            </w:r>
          </w:p>
        </w:tc>
        <w:tc>
          <w:tcPr>
            <w:tcW w:w="87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19"/>
                <w:szCs w:val="19"/>
                <w:bdr w:val="none" w:color="auto" w:sz="0" w:space="0"/>
              </w:rPr>
              <w:t>单位</w:t>
            </w:r>
          </w:p>
        </w:tc>
        <w:tc>
          <w:tcPr>
            <w:tcW w:w="4095" w:type="dxa"/>
            <w:tcBorders>
              <w:top w:val="single" w:color="000000" w:sz="6" w:space="0"/>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一、主动公开情况</w:t>
            </w:r>
          </w:p>
        </w:tc>
        <w:tc>
          <w:tcPr>
            <w:tcW w:w="870" w:type="dxa"/>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sz w:val="18"/>
                <w:szCs w:val="18"/>
              </w:rPr>
            </w:pPr>
          </w:p>
        </w:tc>
        <w:tc>
          <w:tcPr>
            <w:tcW w:w="4095" w:type="dxa"/>
            <w:tcBorders>
              <w:top w:val="nil"/>
              <w:left w:val="single" w:color="000000" w:sz="6" w:space="0"/>
              <w:bottom w:val="single" w:color="000000" w:sz="6" w:space="0"/>
              <w:right w:val="single" w:color="000000" w:sz="6" w:space="0"/>
            </w:tcBorders>
            <w:shd w:val="clear"/>
            <w:noWrap/>
            <w:vAlign w:val="bottom"/>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（一）主动公开政府信息数（不同渠道和方式公开相同信息计1</w:t>
            </w:r>
            <w:r>
              <w:rPr>
                <w:rFonts w:hint="eastAsia" w:ascii="宋体" w:hAnsi="宋体" w:eastAsia="宋体" w:cs="宋体"/>
                <w:sz w:val="19"/>
                <w:szCs w:val="19"/>
                <w:bdr w:val="none" w:color="auto" w:sz="0" w:space="0"/>
              </w:rPr>
              <w:t>条）</w:t>
            </w:r>
          </w:p>
        </w:tc>
        <w:tc>
          <w:tcPr>
            <w:tcW w:w="870" w:type="dxa"/>
            <w:tcBorders>
              <w:top w:val="single" w:color="000000" w:sz="6" w:space="0"/>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其中：主动公开规范性文件数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制发规范性文件总数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（二）重点领域公开政府信息数（不同渠道和方式公开相同信息计1</w:t>
            </w:r>
            <w:r>
              <w:rPr>
                <w:rFonts w:hint="eastAsia" w:ascii="宋体" w:hAnsi="宋体" w:eastAsia="宋体" w:cs="宋体"/>
                <w:sz w:val="19"/>
                <w:szCs w:val="19"/>
                <w:bdr w:val="none" w:color="auto" w:sz="0" w:space="0"/>
              </w:rPr>
              <w:t>条）</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其中：主动公开财政预算决算、“</w:t>
            </w:r>
            <w:r>
              <w:rPr>
                <w:rFonts w:hint="eastAsia" w:ascii="宋体" w:hAnsi="宋体" w:eastAsia="宋体" w:cs="宋体"/>
                <w:sz w:val="19"/>
                <w:szCs w:val="19"/>
                <w:bdr w:val="none" w:color="auto" w:sz="0" w:space="0"/>
              </w:rPr>
              <w:t>三公经费</w:t>
            </w:r>
            <w:r>
              <w:rPr>
                <w:rFonts w:hint="default" w:ascii="Arial" w:hAnsi="Arial" w:eastAsia="宋体" w:cs="Arial"/>
                <w:sz w:val="19"/>
                <w:szCs w:val="19"/>
                <w:bdr w:val="none" w:color="auto" w:sz="0" w:space="0"/>
              </w:rPr>
              <w:t>”</w:t>
            </w:r>
            <w:r>
              <w:rPr>
                <w:rFonts w:hint="eastAsia" w:ascii="宋体" w:hAnsi="宋体" w:eastAsia="宋体" w:cs="宋体"/>
                <w:sz w:val="19"/>
                <w:szCs w:val="19"/>
                <w:bdr w:val="none" w:color="auto" w:sz="0" w:space="0"/>
              </w:rPr>
              <w:t>和行政经费信息数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主动公开保障性安居工程建设计划、项目开工和竣工情况，保障性住房的分配和退出等信息数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主动公开食品安全标准，食品生产经营许可、专项检查整治等信息数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主动公开环境核查审批、环境状况公报和重特大突发环境事件等信息数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主动公开招投标违法违规行为及处理情况、国有资金占控股或者主导地位依法应当招标的项目等信息数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主动公开生产安全事故的政府举措、处置进展、风险预警、防范措施等信息数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主动公开农用地转为建设用地批准、征收集体土地批准、征地公告征地补偿安置公示、集体土地征收结案等信息数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主动公开政府指导价、政府定价和收费标准调整的项目、价格、依据、执行时间和范围等信息数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主动公开本市企业信用信息系统中的警示信息和良好信息等信息数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主动公开政府部门预算执行审计结果等信息数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主动公开行政机关对与人民群众利益密切相关的公共企事业单位进行监督管理的信息数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主动公开市人民政府决定主动公开的其他信息数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（三）通过不同渠道和方式公开政府信息的情况</w:t>
            </w:r>
          </w:p>
        </w:tc>
        <w:tc>
          <w:tcPr>
            <w:tcW w:w="87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rFonts w:hint="eastAsia" w:ascii="宋体" w:hAnsi="宋体" w:eastAsia="宋体" w:cs="宋体"/>
                <w:sz w:val="18"/>
                <w:szCs w:val="18"/>
              </w:rPr>
            </w:pPr>
          </w:p>
        </w:tc>
        <w:tc>
          <w:tcPr>
            <w:tcW w:w="4095" w:type="dxa"/>
            <w:tcBorders>
              <w:top w:val="nil"/>
              <w:left w:val="nil"/>
              <w:bottom w:val="single" w:color="000000" w:sz="6" w:space="0"/>
              <w:right w:val="single" w:color="000000" w:sz="6" w:space="0"/>
            </w:tcBorders>
            <w:shd w:val="clear"/>
            <w:noWrap/>
            <w:vAlign w:val="bottom"/>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1.</w:t>
            </w:r>
            <w:r>
              <w:rPr>
                <w:rFonts w:hint="eastAsia" w:ascii="宋体" w:hAnsi="宋体" w:eastAsia="宋体" w:cs="宋体"/>
                <w:sz w:val="19"/>
                <w:szCs w:val="19"/>
                <w:bdr w:val="none" w:color="auto" w:sz="0" w:space="0"/>
              </w:rPr>
              <w:t>政府公报公开政府信息数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2.</w:t>
            </w:r>
            <w:r>
              <w:rPr>
                <w:rFonts w:hint="eastAsia" w:ascii="宋体" w:hAnsi="宋体" w:eastAsia="宋体" w:cs="宋体"/>
                <w:sz w:val="19"/>
                <w:szCs w:val="19"/>
                <w:bdr w:val="none" w:color="auto" w:sz="0" w:space="0"/>
              </w:rPr>
              <w:t>政府网站公开政府信息数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3.</w:t>
            </w:r>
            <w:r>
              <w:rPr>
                <w:rFonts w:hint="eastAsia" w:ascii="宋体" w:hAnsi="宋体" w:eastAsia="宋体" w:cs="宋体"/>
                <w:sz w:val="19"/>
                <w:szCs w:val="19"/>
                <w:bdr w:val="none" w:color="auto" w:sz="0" w:space="0"/>
              </w:rPr>
              <w:t>政务微博公开政府信息数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4.</w:t>
            </w:r>
            <w:r>
              <w:rPr>
                <w:rFonts w:hint="eastAsia" w:ascii="宋体" w:hAnsi="宋体" w:eastAsia="宋体" w:cs="宋体"/>
                <w:sz w:val="19"/>
                <w:szCs w:val="19"/>
                <w:bdr w:val="none" w:color="auto" w:sz="0" w:space="0"/>
              </w:rPr>
              <w:t>政务微信公开政府信息数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5.</w:t>
            </w:r>
            <w:r>
              <w:rPr>
                <w:rFonts w:hint="eastAsia" w:ascii="宋体" w:hAnsi="宋体" w:eastAsia="宋体" w:cs="宋体"/>
                <w:sz w:val="19"/>
                <w:szCs w:val="19"/>
                <w:bdr w:val="none" w:color="auto" w:sz="0" w:space="0"/>
              </w:rPr>
              <w:t>其他方式公开政府信息数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二、回应解读情况</w:t>
            </w:r>
          </w:p>
        </w:tc>
        <w:tc>
          <w:tcPr>
            <w:tcW w:w="87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rFonts w:hint="eastAsia" w:ascii="宋体" w:hAnsi="宋体" w:eastAsia="宋体" w:cs="宋体"/>
                <w:sz w:val="18"/>
                <w:szCs w:val="18"/>
              </w:rPr>
            </w:pPr>
          </w:p>
        </w:tc>
        <w:tc>
          <w:tcPr>
            <w:tcW w:w="4095" w:type="dxa"/>
            <w:tcBorders>
              <w:top w:val="nil"/>
              <w:left w:val="nil"/>
              <w:bottom w:val="single" w:color="000000" w:sz="6" w:space="0"/>
              <w:right w:val="single" w:color="000000" w:sz="6" w:space="0"/>
            </w:tcBorders>
            <w:shd w:val="clear"/>
            <w:noWrap/>
            <w:vAlign w:val="bottom"/>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（一）回应公众关注热点或重大舆情数（不同方式回应同一热点或舆情计1</w:t>
            </w:r>
            <w:r>
              <w:rPr>
                <w:rFonts w:hint="eastAsia" w:ascii="宋体" w:hAnsi="宋体" w:eastAsia="宋体" w:cs="宋体"/>
                <w:sz w:val="19"/>
                <w:szCs w:val="19"/>
                <w:bdr w:val="none" w:color="auto" w:sz="0" w:space="0"/>
              </w:rPr>
              <w:t>次）</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（二）通过不同渠道和方式回应解读的情况</w:t>
            </w:r>
          </w:p>
        </w:tc>
        <w:tc>
          <w:tcPr>
            <w:tcW w:w="87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rFonts w:hint="eastAsia" w:ascii="宋体" w:hAnsi="宋体" w:eastAsia="宋体" w:cs="宋体"/>
                <w:sz w:val="18"/>
                <w:szCs w:val="18"/>
              </w:rPr>
            </w:pPr>
          </w:p>
        </w:tc>
        <w:tc>
          <w:tcPr>
            <w:tcW w:w="4095" w:type="dxa"/>
            <w:tcBorders>
              <w:top w:val="nil"/>
              <w:left w:val="nil"/>
              <w:bottom w:val="single" w:color="000000" w:sz="6" w:space="0"/>
              <w:right w:val="single" w:color="000000" w:sz="6" w:space="0"/>
            </w:tcBorders>
            <w:shd w:val="clear"/>
            <w:noWrap/>
            <w:vAlign w:val="bottom"/>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1.</w:t>
            </w:r>
            <w:r>
              <w:rPr>
                <w:rFonts w:hint="eastAsia" w:ascii="宋体" w:hAnsi="宋体" w:eastAsia="宋体" w:cs="宋体"/>
                <w:sz w:val="19"/>
                <w:szCs w:val="19"/>
                <w:bdr w:val="none" w:color="auto" w:sz="0" w:space="0"/>
              </w:rPr>
              <w:t>参加或举办新闻发布会总次数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其中：主要负责同志参加新闻发布会次数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2.</w:t>
            </w:r>
            <w:r>
              <w:rPr>
                <w:rFonts w:hint="eastAsia" w:ascii="宋体" w:hAnsi="宋体" w:eastAsia="宋体" w:cs="宋体"/>
                <w:sz w:val="19"/>
                <w:szCs w:val="19"/>
                <w:bdr w:val="none" w:color="auto" w:sz="0" w:space="0"/>
              </w:rPr>
              <w:t>政府网站在线访谈次数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其中：主要负责同志参加政府网站在线访谈次数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3.</w:t>
            </w:r>
            <w:r>
              <w:rPr>
                <w:rFonts w:hint="eastAsia" w:ascii="宋体" w:hAnsi="宋体" w:eastAsia="宋体" w:cs="宋体"/>
                <w:sz w:val="19"/>
                <w:szCs w:val="19"/>
                <w:bdr w:val="none" w:color="auto" w:sz="0" w:space="0"/>
              </w:rPr>
              <w:t>政策解读稿件发布数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篇</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4.</w:t>
            </w:r>
            <w:r>
              <w:rPr>
                <w:rFonts w:hint="eastAsia" w:ascii="宋体" w:hAnsi="宋体" w:eastAsia="宋体" w:cs="宋体"/>
                <w:sz w:val="19"/>
                <w:szCs w:val="19"/>
                <w:bdr w:val="none" w:color="auto" w:sz="0" w:space="0"/>
              </w:rPr>
              <w:t>微博微信回应事件数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5.</w:t>
            </w:r>
            <w:r>
              <w:rPr>
                <w:rFonts w:hint="eastAsia" w:ascii="宋体" w:hAnsi="宋体" w:eastAsia="宋体" w:cs="宋体"/>
                <w:sz w:val="19"/>
                <w:szCs w:val="19"/>
                <w:bdr w:val="none" w:color="auto" w:sz="0" w:space="0"/>
              </w:rPr>
              <w:t>其他方式回应事件数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三、依申请公开情况</w:t>
            </w:r>
          </w:p>
        </w:tc>
        <w:tc>
          <w:tcPr>
            <w:tcW w:w="87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rFonts w:hint="eastAsia" w:ascii="宋体" w:hAnsi="宋体" w:eastAsia="宋体" w:cs="宋体"/>
                <w:sz w:val="18"/>
                <w:szCs w:val="18"/>
              </w:rPr>
            </w:pPr>
          </w:p>
        </w:tc>
        <w:tc>
          <w:tcPr>
            <w:tcW w:w="4095" w:type="dxa"/>
            <w:tcBorders>
              <w:top w:val="nil"/>
              <w:left w:val="nil"/>
              <w:bottom w:val="single" w:color="000000" w:sz="6" w:space="0"/>
              <w:right w:val="single" w:color="000000" w:sz="6" w:space="0"/>
            </w:tcBorders>
            <w:shd w:val="clear"/>
            <w:noWrap/>
            <w:vAlign w:val="bottom"/>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（一）收到申请数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1.</w:t>
            </w:r>
            <w:r>
              <w:rPr>
                <w:rFonts w:hint="eastAsia" w:ascii="宋体" w:hAnsi="宋体" w:eastAsia="宋体" w:cs="宋体"/>
                <w:sz w:val="19"/>
                <w:szCs w:val="19"/>
                <w:bdr w:val="none" w:color="auto" w:sz="0" w:space="0"/>
              </w:rPr>
              <w:t>当面申请数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2.</w:t>
            </w:r>
            <w:r>
              <w:rPr>
                <w:rFonts w:hint="eastAsia" w:ascii="宋体" w:hAnsi="宋体" w:eastAsia="宋体" w:cs="宋体"/>
                <w:sz w:val="19"/>
                <w:szCs w:val="19"/>
                <w:bdr w:val="none" w:color="auto" w:sz="0" w:space="0"/>
              </w:rPr>
              <w:t>传真申请数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3.</w:t>
            </w:r>
            <w:r>
              <w:rPr>
                <w:rFonts w:hint="eastAsia" w:ascii="宋体" w:hAnsi="宋体" w:eastAsia="宋体" w:cs="宋体"/>
                <w:sz w:val="19"/>
                <w:szCs w:val="19"/>
                <w:bdr w:val="none" w:color="auto" w:sz="0" w:space="0"/>
              </w:rPr>
              <w:t>网络申请数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4.</w:t>
            </w:r>
            <w:r>
              <w:rPr>
                <w:rFonts w:hint="eastAsia" w:ascii="宋体" w:hAnsi="宋体" w:eastAsia="宋体" w:cs="宋体"/>
                <w:sz w:val="19"/>
                <w:szCs w:val="19"/>
                <w:bdr w:val="none" w:color="auto" w:sz="0" w:space="0"/>
              </w:rPr>
              <w:t>信函申请数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（二）申请办结数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1.</w:t>
            </w:r>
            <w:r>
              <w:rPr>
                <w:rFonts w:hint="eastAsia" w:ascii="宋体" w:hAnsi="宋体" w:eastAsia="宋体" w:cs="宋体"/>
                <w:sz w:val="19"/>
                <w:szCs w:val="19"/>
                <w:bdr w:val="none" w:color="auto" w:sz="0" w:space="0"/>
              </w:rPr>
              <w:t>按时办结数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2.</w:t>
            </w:r>
            <w:r>
              <w:rPr>
                <w:rFonts w:hint="eastAsia" w:ascii="宋体" w:hAnsi="宋体" w:eastAsia="宋体" w:cs="宋体"/>
                <w:sz w:val="19"/>
                <w:szCs w:val="19"/>
                <w:bdr w:val="none" w:color="auto" w:sz="0" w:space="0"/>
              </w:rPr>
              <w:t>延期办结数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（三）申请答复数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1.</w:t>
            </w:r>
            <w:r>
              <w:rPr>
                <w:rFonts w:hint="eastAsia" w:ascii="宋体" w:hAnsi="宋体" w:eastAsia="宋体" w:cs="宋体"/>
                <w:sz w:val="19"/>
                <w:szCs w:val="19"/>
                <w:bdr w:val="none" w:color="auto" w:sz="0" w:space="0"/>
              </w:rPr>
              <w:t>属于已主动公开范围数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2.</w:t>
            </w:r>
            <w:r>
              <w:rPr>
                <w:rFonts w:hint="eastAsia" w:ascii="宋体" w:hAnsi="宋体" w:eastAsia="宋体" w:cs="宋体"/>
                <w:sz w:val="19"/>
                <w:szCs w:val="19"/>
                <w:bdr w:val="none" w:color="auto" w:sz="0" w:space="0"/>
              </w:rPr>
              <w:t>同意公开答复数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3.</w:t>
            </w:r>
            <w:r>
              <w:rPr>
                <w:rFonts w:hint="eastAsia" w:ascii="宋体" w:hAnsi="宋体" w:eastAsia="宋体" w:cs="宋体"/>
                <w:sz w:val="19"/>
                <w:szCs w:val="19"/>
                <w:bdr w:val="none" w:color="auto" w:sz="0" w:space="0"/>
              </w:rPr>
              <w:t>同意部分公开答复数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4.</w:t>
            </w:r>
            <w:r>
              <w:rPr>
                <w:rFonts w:hint="eastAsia" w:ascii="宋体" w:hAnsi="宋体" w:eastAsia="宋体" w:cs="宋体"/>
                <w:sz w:val="19"/>
                <w:szCs w:val="19"/>
                <w:bdr w:val="none" w:color="auto" w:sz="0" w:space="0"/>
              </w:rPr>
              <w:t>不同意公开答复数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其中：涉及国家秘密</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涉及商业秘密</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涉及个人隐私</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危及国家安全、公共安全、经济安全和社会稳定</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不是《条例》所指政府信息</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法律法规规定的其他情形</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5.</w:t>
            </w:r>
            <w:r>
              <w:rPr>
                <w:rFonts w:hint="eastAsia" w:ascii="宋体" w:hAnsi="宋体" w:eastAsia="宋体" w:cs="宋体"/>
                <w:sz w:val="19"/>
                <w:szCs w:val="19"/>
                <w:bdr w:val="none" w:color="auto" w:sz="0" w:space="0"/>
              </w:rPr>
              <w:t>不属于本行政机关公开数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6.</w:t>
            </w:r>
            <w:r>
              <w:rPr>
                <w:rFonts w:hint="eastAsia" w:ascii="宋体" w:hAnsi="宋体" w:eastAsia="宋体" w:cs="宋体"/>
                <w:sz w:val="19"/>
                <w:szCs w:val="19"/>
                <w:bdr w:val="none" w:color="auto" w:sz="0" w:space="0"/>
              </w:rPr>
              <w:t>申请信息不存在数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7.</w:t>
            </w:r>
            <w:r>
              <w:rPr>
                <w:rFonts w:hint="eastAsia" w:ascii="宋体" w:hAnsi="宋体" w:eastAsia="宋体" w:cs="宋体"/>
                <w:sz w:val="19"/>
                <w:szCs w:val="19"/>
                <w:bdr w:val="none" w:color="auto" w:sz="0" w:space="0"/>
              </w:rPr>
              <w:t>告知作出更改补充数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8.</w:t>
            </w:r>
            <w:r>
              <w:rPr>
                <w:rFonts w:hint="eastAsia" w:ascii="宋体" w:hAnsi="宋体" w:eastAsia="宋体" w:cs="宋体"/>
                <w:sz w:val="19"/>
                <w:szCs w:val="19"/>
                <w:bdr w:val="none" w:color="auto" w:sz="0" w:space="0"/>
              </w:rPr>
              <w:t>告知通过其他途径办理数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四、行政复议数量</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（一）维持具体行政行为数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（二）被依法纠错数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（三）其他情形数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五、行政诉讼数量</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（一）维持具体行政行为或者驳回原告诉讼请求数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（二）被依法纠错数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（三）其他情形数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六、举报投诉数量</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件</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七、依申请公开信息收取的费用</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bdr w:val="none" w:color="auto" w:sz="0" w:space="0"/>
              </w:rPr>
              <w:t>元</w:t>
            </w:r>
          </w:p>
        </w:tc>
        <w:tc>
          <w:tcPr>
            <w:tcW w:w="4095" w:type="dxa"/>
            <w:tcBorders>
              <w:top w:val="nil"/>
              <w:left w:val="nil"/>
              <w:bottom w:val="single" w:color="000000" w:sz="6" w:space="0"/>
              <w:right w:val="single" w:color="000000" w:sz="6" w:space="0"/>
            </w:tcBorders>
            <w:shd w:val="clear"/>
            <w:noWrap/>
            <w:vAlign w:val="bottom"/>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八、机构建设和保障经费情况</w:t>
            </w:r>
          </w:p>
        </w:tc>
        <w:tc>
          <w:tcPr>
            <w:tcW w:w="87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rFonts w:hint="eastAsia" w:ascii="宋体" w:hAnsi="宋体" w:eastAsia="宋体" w:cs="宋体"/>
                <w:sz w:val="18"/>
                <w:szCs w:val="18"/>
              </w:rPr>
            </w:pPr>
          </w:p>
        </w:tc>
        <w:tc>
          <w:tcPr>
            <w:tcW w:w="4095" w:type="dxa"/>
            <w:tcBorders>
              <w:top w:val="nil"/>
              <w:left w:val="nil"/>
              <w:bottom w:val="single" w:color="000000" w:sz="6" w:space="0"/>
              <w:right w:val="single" w:color="000000" w:sz="6" w:space="0"/>
            </w:tcBorders>
            <w:shd w:val="clear"/>
            <w:noWrap/>
            <w:vAlign w:val="bottom"/>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（一）政府信息公开工作专门机构数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个</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（二）设置政府信息公开查阅点数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个</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（三）从事政府信息公开工作人员数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bdr w:val="none" w:color="auto" w:sz="0" w:space="0"/>
              </w:rPr>
              <w:t>人</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1.</w:t>
            </w:r>
            <w:r>
              <w:rPr>
                <w:rFonts w:hint="eastAsia" w:ascii="宋体" w:hAnsi="宋体" w:eastAsia="宋体" w:cs="宋体"/>
                <w:sz w:val="19"/>
                <w:szCs w:val="19"/>
                <w:bdr w:val="none" w:color="auto" w:sz="0" w:space="0"/>
              </w:rPr>
              <w:t>专职人员数（不包括政府公报及政府网站工作人员数）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bdr w:val="none" w:color="auto" w:sz="0" w:space="0"/>
              </w:rPr>
              <w:t>人</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2.</w:t>
            </w:r>
            <w:r>
              <w:rPr>
                <w:rFonts w:hint="eastAsia" w:ascii="宋体" w:hAnsi="宋体" w:eastAsia="宋体" w:cs="宋体"/>
                <w:sz w:val="19"/>
                <w:szCs w:val="19"/>
                <w:bdr w:val="none" w:color="auto" w:sz="0" w:space="0"/>
              </w:rPr>
              <w:t>兼职人员数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bdr w:val="none" w:color="auto" w:sz="0" w:space="0"/>
              </w:rPr>
              <w:t>人</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（四）政府信息公开专项经费（不包括用于政府公报编辑管理及政府网站建设维护等方面的经费）</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bdr w:val="none" w:color="auto" w:sz="0" w:space="0"/>
              </w:rPr>
              <w:t>元</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九、政府信息公开会议和培训情况</w:t>
            </w:r>
          </w:p>
        </w:tc>
        <w:tc>
          <w:tcPr>
            <w:tcW w:w="870"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jc w:val="left"/>
              <w:rPr>
                <w:rFonts w:hint="eastAsia" w:ascii="宋体" w:hAnsi="宋体" w:eastAsia="宋体" w:cs="宋体"/>
                <w:sz w:val="18"/>
                <w:szCs w:val="18"/>
              </w:rPr>
            </w:pPr>
          </w:p>
        </w:tc>
        <w:tc>
          <w:tcPr>
            <w:tcW w:w="4095" w:type="dxa"/>
            <w:tcBorders>
              <w:top w:val="nil"/>
              <w:left w:val="nil"/>
              <w:bottom w:val="single" w:color="000000" w:sz="6" w:space="0"/>
              <w:right w:val="single" w:color="000000" w:sz="6" w:space="0"/>
            </w:tcBorders>
            <w:shd w:val="clear"/>
            <w:noWrap/>
            <w:vAlign w:val="bottom"/>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（一）召开政府信息公开工作会议或专题会议数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（二）举办各类培训班数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sz w:val="19"/>
                <w:szCs w:val="19"/>
                <w:bdr w:val="none" w:color="auto" w:sz="0" w:space="0"/>
              </w:rPr>
              <w:t>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4095" w:type="dxa"/>
            <w:tcBorders>
              <w:top w:val="nil"/>
              <w:left w:val="single" w:color="000000" w:sz="6" w:space="0"/>
              <w:bottom w:val="single" w:color="000000" w:sz="6" w:space="0"/>
              <w:right w:val="single" w:color="000000" w:sz="6" w:space="0"/>
            </w:tcBorders>
            <w:shd w:val="cle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default" w:ascii="Arial" w:hAnsi="Arial" w:eastAsia="宋体" w:cs="Arial"/>
                <w:sz w:val="19"/>
                <w:szCs w:val="19"/>
                <w:bdr w:val="none" w:color="auto" w:sz="0" w:space="0"/>
              </w:rPr>
              <w:t>   （三）接受培训人员数</w:t>
            </w:r>
          </w:p>
        </w:tc>
        <w:tc>
          <w:tcPr>
            <w:tcW w:w="870" w:type="dxa"/>
            <w:tcBorders>
              <w:top w:val="nil"/>
              <w:left w:val="nil"/>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w:hAnsi="Arial" w:eastAsia="宋体" w:cs="Arial"/>
                <w:sz w:val="19"/>
                <w:szCs w:val="19"/>
                <w:bdr w:val="none" w:color="auto" w:sz="0" w:space="0"/>
              </w:rPr>
              <w:t>人次</w:t>
            </w:r>
          </w:p>
        </w:tc>
        <w:tc>
          <w:tcPr>
            <w:tcW w:w="4095" w:type="dxa"/>
            <w:tcBorders>
              <w:top w:val="nil"/>
              <w:left w:val="nil"/>
              <w:bottom w:val="single" w:color="000000" w:sz="6" w:space="0"/>
              <w:right w:val="single" w:color="000000" w:sz="6" w:space="0"/>
            </w:tcBorders>
            <w:shd w:val="clear"/>
            <w:noWrap/>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ottom"/>
            </w:pPr>
            <w:r>
              <w:rPr>
                <w:rFonts w:hint="default" w:ascii="Arial" w:hAnsi="Arial" w:eastAsia="宋体" w:cs="Arial"/>
                <w:sz w:val="19"/>
                <w:szCs w:val="19"/>
                <w:bdr w:val="none" w:color="auto" w:sz="0" w:space="0"/>
              </w:rPr>
              <w:t>1</w:t>
            </w:r>
          </w:p>
        </w:tc>
      </w:tr>
    </w:tbl>
    <w:p>
      <w:pPr>
        <w:keepNext w:val="0"/>
        <w:keepLines w:val="0"/>
        <w:widowControl/>
        <w:suppressLineNumbers w:val="0"/>
        <w:spacing w:after="240" w:afterAutospacing="0"/>
        <w:ind w:left="0" w:firstLine="45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pPr>
        <w:pStyle w:val="2"/>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69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2021-03-04T03:09:14Z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6962B6A7F2734078A5252E615F7CB2A8</vt:lpwstr>
  </property>
</Properties>
</file>