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0"/>
        <w:jc w:val="center"/>
        <w:rPr>
          <w:rFonts w:ascii="sans-serif" w:hAnsi="sans-serif" w:eastAsia="sans-serif" w:cs="sans-serif"/>
          <w:b/>
          <w:bCs/>
          <w:i w:val="0"/>
          <w:iCs w:val="0"/>
          <w:caps w:val="0"/>
          <w:color w:val="000000"/>
          <w:spacing w:val="0"/>
          <w:sz w:val="36"/>
          <w:szCs w:val="36"/>
        </w:rPr>
      </w:pPr>
      <w:r>
        <w:rPr>
          <w:rFonts w:hint="default" w:ascii="sans-serif" w:hAnsi="sans-serif" w:eastAsia="sans-serif" w:cs="sans-serif"/>
          <w:b/>
          <w:bCs/>
          <w:i w:val="0"/>
          <w:iCs w:val="0"/>
          <w:caps w:val="0"/>
          <w:color w:val="000000"/>
          <w:spacing w:val="0"/>
          <w:sz w:val="36"/>
          <w:szCs w:val="36"/>
        </w:rPr>
        <w:t>白纸坊街道2018年信息公开工作年度报告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2" w:beforeAutospacing="0" w:after="312" w:afterAutospacing="0" w:line="560" w:lineRule="atLeast"/>
        <w:ind w:left="0" w:right="0"/>
        <w:jc w:val="center"/>
        <w:rPr>
          <w:rFonts w:hint="default" w:ascii="黑体" w:hAnsi="宋体" w:eastAsia="黑体" w:cs="黑体"/>
          <w:i w:val="0"/>
          <w:iCs w:val="0"/>
          <w:caps w:val="0"/>
          <w:color w:val="000000"/>
          <w:spacing w:val="0"/>
          <w:sz w:val="32"/>
          <w:szCs w:val="32"/>
          <w:bdr w:val="none" w:color="auto" w:sz="0" w:space="0"/>
          <w:shd w:val="clear" w:fill="FFFFFF"/>
          <w:lang w:val="en-US" w:eastAsia="zh-CN"/>
        </w:rPr>
      </w:pPr>
      <w:r>
        <w:rPr>
          <w:rFonts w:hint="eastAsia" w:ascii="黑体" w:hAnsi="宋体" w:eastAsia="黑体" w:cs="黑体"/>
          <w:i w:val="0"/>
          <w:iCs w:val="0"/>
          <w:caps w:val="0"/>
          <w:color w:val="000000"/>
          <w:spacing w:val="0"/>
          <w:sz w:val="32"/>
          <w:szCs w:val="32"/>
          <w:bdr w:val="none" w:color="auto" w:sz="0" w:space="0"/>
          <w:shd w:val="clear" w:fill="FFFFFF"/>
          <w:lang w:val="en-US" w:eastAsia="zh-CN"/>
        </w:rPr>
        <w:t>2019年3月</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2" w:beforeAutospacing="0" w:after="312" w:afterAutospacing="0" w:line="560" w:lineRule="atLeast"/>
        <w:ind w:left="0" w:right="0"/>
        <w:jc w:val="center"/>
        <w:rPr>
          <w:rFonts w:hint="default" w:ascii="Calibri" w:hAnsi="Calibri" w:cs="Calibri"/>
          <w:sz w:val="21"/>
          <w:szCs w:val="21"/>
        </w:rPr>
      </w:pPr>
      <w:r>
        <w:rPr>
          <w:rFonts w:ascii="黑体" w:hAnsi="宋体" w:eastAsia="黑体" w:cs="黑体"/>
          <w:i w:val="0"/>
          <w:iCs w:val="0"/>
          <w:caps w:val="0"/>
          <w:color w:val="000000"/>
          <w:spacing w:val="0"/>
          <w:sz w:val="32"/>
          <w:szCs w:val="32"/>
          <w:bdr w:val="none" w:color="auto" w:sz="0" w:space="0"/>
          <w:shd w:val="clear" w:fill="FFFFFF"/>
        </w:rPr>
        <w:t>引言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sz w:val="21"/>
          <w:szCs w:val="21"/>
        </w:rPr>
      </w:pPr>
      <w:r>
        <w:rPr>
          <w:rFonts w:ascii="仿宋" w:hAnsi="仿宋" w:eastAsia="仿宋" w:cs="仿宋"/>
          <w:i w:val="0"/>
          <w:iCs w:val="0"/>
          <w:caps w:val="0"/>
          <w:color w:val="000000"/>
          <w:spacing w:val="0"/>
          <w:sz w:val="32"/>
          <w:szCs w:val="32"/>
          <w:bdr w:val="none" w:color="auto" w:sz="0" w:space="0"/>
          <w:shd w:val="clear" w:fill="FFFFFF"/>
        </w:rPr>
        <w:t>本报告是根据《中华人民共和国政府信息公开条例》（以下简称《条例》）</w:t>
      </w:r>
      <w:r>
        <w:rPr>
          <w:rFonts w:hint="eastAsia" w:ascii="仿宋" w:hAnsi="仿宋" w:eastAsia="仿宋" w:cs="仿宋"/>
          <w:i w:val="0"/>
          <w:iCs w:val="0"/>
          <w:caps w:val="0"/>
          <w:color w:val="000000"/>
          <w:spacing w:val="0"/>
          <w:sz w:val="32"/>
          <w:szCs w:val="32"/>
          <w:bdr w:val="none" w:color="auto" w:sz="0" w:space="0"/>
          <w:shd w:val="clear" w:fill="FFFFFF"/>
        </w:rPr>
        <w:t>和《北京市政府信息公开规定》要求，由西城区白纸坊街道编制的2018年度政府信息公开工作年度报告。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全文包括概述，主动公开政府信息的情况，依申请公开政府信息和不予公开政府信息的情况，政府信息公开的人员、收费及减免情况，政府信息公开咨询情况，因政府信息公开申请行政复议、提起行政诉讼的情况，政府信息公开工作存在的主要问题和改进情况。报告后附政府信息公开情况统计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本报告中所列数据的统计期限自2018年1月1日起至2018年12月31日止。公众可在西城区政府网站（</w:t>
      </w:r>
      <w:r>
        <w:rPr>
          <w:rFonts w:hint="eastAsia" w:ascii="仿宋" w:hAnsi="仿宋" w:eastAsia="仿宋" w:cs="仿宋"/>
          <w:i w:val="0"/>
          <w:iCs w:val="0"/>
          <w:caps w:val="0"/>
          <w:spacing w:val="0"/>
          <w:sz w:val="32"/>
          <w:szCs w:val="32"/>
          <w:bdr w:val="none" w:color="auto" w:sz="0" w:space="0"/>
          <w:shd w:val="clear" w:fill="FFFFFF"/>
        </w:rPr>
        <w:fldChar w:fldCharType="begin"/>
      </w:r>
      <w:r>
        <w:rPr>
          <w:rFonts w:hint="eastAsia" w:ascii="仿宋" w:hAnsi="仿宋" w:eastAsia="仿宋" w:cs="仿宋"/>
          <w:i w:val="0"/>
          <w:iCs w:val="0"/>
          <w:caps w:val="0"/>
          <w:spacing w:val="0"/>
          <w:sz w:val="32"/>
          <w:szCs w:val="32"/>
          <w:bdr w:val="none" w:color="auto" w:sz="0" w:space="0"/>
          <w:shd w:val="clear" w:fill="FFFFFF"/>
        </w:rPr>
        <w:instrText xml:space="preserve"> HYPERLINK "http://www.bjxch.gov.cn/" \t "_blank" </w:instrText>
      </w:r>
      <w:r>
        <w:rPr>
          <w:rFonts w:hint="eastAsia" w:ascii="仿宋" w:hAnsi="仿宋" w:eastAsia="仿宋" w:cs="仿宋"/>
          <w:i w:val="0"/>
          <w:iCs w:val="0"/>
          <w:caps w:val="0"/>
          <w:spacing w:val="0"/>
          <w:sz w:val="32"/>
          <w:szCs w:val="32"/>
          <w:bdr w:val="none" w:color="auto" w:sz="0" w:space="0"/>
          <w:shd w:val="clear" w:fill="FFFFFF"/>
        </w:rPr>
        <w:fldChar w:fldCharType="separate"/>
      </w:r>
      <w:r>
        <w:rPr>
          <w:rStyle w:val="6"/>
          <w:rFonts w:hint="eastAsia" w:ascii="仿宋" w:hAnsi="仿宋" w:eastAsia="仿宋" w:cs="仿宋"/>
          <w:i w:val="0"/>
          <w:iCs w:val="0"/>
          <w:caps w:val="0"/>
          <w:color w:val="000000"/>
          <w:spacing w:val="0"/>
          <w:sz w:val="32"/>
          <w:szCs w:val="32"/>
          <w:bdr w:val="none" w:color="auto" w:sz="0" w:space="0"/>
          <w:shd w:val="clear" w:fill="FFFFFF"/>
        </w:rPr>
        <w:t>http://www.bjxch.gov.cn</w:t>
      </w:r>
      <w:r>
        <w:rPr>
          <w:rFonts w:hint="eastAsia" w:ascii="仿宋" w:hAnsi="仿宋" w:eastAsia="仿宋" w:cs="仿宋"/>
          <w:i w:val="0"/>
          <w:iCs w:val="0"/>
          <w:caps w:val="0"/>
          <w:spacing w:val="0"/>
          <w:sz w:val="32"/>
          <w:szCs w:val="32"/>
          <w:bdr w:val="none" w:color="auto" w:sz="0" w:space="0"/>
          <w:shd w:val="clear" w:fill="FFFFFF"/>
        </w:rPr>
        <w:fldChar w:fldCharType="end"/>
      </w:r>
      <w:r>
        <w:rPr>
          <w:rFonts w:hint="eastAsia" w:ascii="仿宋" w:hAnsi="仿宋" w:eastAsia="仿宋" w:cs="仿宋"/>
          <w:i w:val="0"/>
          <w:iCs w:val="0"/>
          <w:caps w:val="0"/>
          <w:color w:val="000000"/>
          <w:spacing w:val="0"/>
          <w:sz w:val="32"/>
          <w:szCs w:val="32"/>
          <w:bdr w:val="none" w:color="auto" w:sz="0" w:space="0"/>
          <w:shd w:val="clear" w:fill="FFFFFF"/>
        </w:rPr>
        <w:t>）的政府信息公开专栏中下载本报告的电子版。如对本报告有任何疑问，请与西城区白纸坊街道办事处办公室联系。（地址：北京市西城区樱桃二条8号，联系电话：010－83511970。）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2" w:beforeAutospacing="0" w:after="312" w:afterAutospacing="0" w:line="560" w:lineRule="atLeast"/>
        <w:ind w:left="0" w:right="0"/>
        <w:jc w:val="both"/>
        <w:rPr>
          <w:rFonts w:hint="default" w:ascii="Calibri" w:hAnsi="Calibri" w:cs="Calibri"/>
          <w:sz w:val="21"/>
          <w:szCs w:val="21"/>
        </w:rPr>
      </w:pPr>
      <w:r>
        <w:rPr>
          <w:rFonts w:hint="eastAsia" w:ascii="黑体" w:hAnsi="宋体" w:eastAsia="黑体" w:cs="黑体"/>
          <w:i w:val="0"/>
          <w:iCs w:val="0"/>
          <w:caps w:val="0"/>
          <w:color w:val="000000"/>
          <w:spacing w:val="0"/>
          <w:sz w:val="32"/>
          <w:szCs w:val="32"/>
          <w:bdr w:val="none" w:color="auto" w:sz="0" w:space="0"/>
          <w:shd w:val="clear" w:fill="FFFFFF"/>
        </w:rPr>
        <w:t>　　一、概述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根据《条例》要求，2008年5月1日起本单位开始开展政府信息公开工作。为此，专门配备了5名兼职工作人员，设立了1个专门的信息申请受理点，并开辟了2个公共查阅点。截至2018年底，我单位政府信息公开工作运行正常，政府信息公开咨询、申请以及答复工作顺利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根据区政府信息公开有关文件要求，我街道信息公开工作严格遵守已制定了的《白纸坊街道政府信息公开工作方案》、《白纸坊街道政府信息依申请公开工作办法》、《白纸坊街道政府信息依申请公开工作实施细则》等文件，明确政府信息公开各阶段工作重点，以及信息填报、审核、公布各环节，并将责任落实到人，确保政府信息公开工作有序开展，同时加强对公开信息的严格审查，避免信息不真和涉密信息外露情况的发生。截至2018年底，我街道填报主动公开信息1685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sz w:val="32"/>
          <w:szCs w:val="32"/>
          <w:bdr w:val="none" w:color="auto" w:sz="0" w:space="0"/>
          <w:shd w:val="clear" w:fill="FFFFFF"/>
        </w:rPr>
        <w:t>二、本年度重点工作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default" w:ascii="Calibri" w:hAnsi="Calibri" w:cs="Calibri"/>
          <w:sz w:val="21"/>
          <w:szCs w:val="21"/>
        </w:rPr>
      </w:pPr>
      <w:r>
        <w:rPr>
          <w:rFonts w:ascii="楷体" w:hAnsi="楷体" w:eastAsia="楷体" w:cs="楷体"/>
          <w:i w:val="0"/>
          <w:iCs w:val="0"/>
          <w:caps w:val="0"/>
          <w:color w:val="000000"/>
          <w:spacing w:val="0"/>
          <w:sz w:val="30"/>
          <w:szCs w:val="30"/>
          <w:bdr w:val="none" w:color="auto" w:sz="0" w:space="0"/>
          <w:shd w:val="clear" w:fill="FFFFFF"/>
        </w:rPr>
        <w:t>（一）2018年政府信息公开工作要点落实情况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2018年，我街道政府信息公开工作继续深入贯彻落实党的十九大精神，以习近平新时代中国特色社会主义思想为指导，以习近平总书记两次视察北京重要讲话精神为根本遵循，全面落实国家、市、区关于政务公开的工作部署和要求，深入贯彻《中华人民共和国政府信息公开条例》和《北京市政府信息公开规定》要求，严格落实《西城区2018年政务公开工作方案及内容要点》，进一步扩大政府信息公开范围，2018年我街道落实了街道、社区向居民通报情况制度，规范信息公开工作机制，进一步增强政府信息公开力度，提高政府工作透明度和公信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　　1、健全公开机制。一是成立街道信息公开工作领导小组。由街道工委书记、办事处主任任组长，主管政府信息公开工作的办事处副主任任副组长，成员包括街道一委七办三中心的负责人。二是认真落实信息公开的各项制度。严格执行《白纸坊街道政府信息主动公开工作制度》、《白纸坊街道办事处政府信息公开审查制度》、《白纸坊街道政府信息公开内部监督考核方案》、《白纸坊街道政府信息公开源头管理办法》、《白纸坊街道工委办事处、社区党委居委会向居民群众通报情况制度》、《2018年白纸坊街道办事处信息公开指南》。三是落实责任追究制度。明确街道政务公开工作责任，确立了信息公开保密审查制度，严格对公开的信息进行审查，要求产生科室及发布科室的负责人和主管领导签字。对严重违反政务公开规定的行为，依据街道政务公开相关规定进行责任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    2、规范公开内容。一是在全面落实重点领域和拓展领域清单的基础上，认真执行《西城区落实全国政务公开试点工作方案》的要求，街道根据大部制改革后的部门职责，逐条梳理，提炼职责中产生的事项，完整填写清单要，逐步公开街道一委七办三中心的相关职责，方便群众咨询和业务办理；二、推进政务公开试点工作，推进政府会议开放制度、政府开放日制度、政府向公众报告制度、向社区居民通报制度、民生工作民意立项制度的政务公开工作；三、每周设立三次处级领导信访接待日，处理群众的来信来访。对安全生产、疏解整治、环保督查、“开墙打洞”、次哨报道、优化营商环境等群众关心的问题及时进行答复，解决居民在生产生活中实际困难，促进地区经济协调发展，街道还多次在辖区内组织相关活动与居民互动。四、按要求公开各类信息。每周公布管理综合执法情况，按月和季度向居民通报社会救济情况，按要求公布街道的预决算及各类工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3、丰富公开平台。通过街道门户网站、区政府网信息公开专栏、《白纸坊报》、“坊间微动力”微信公众号、“精彩白纸坊”微博、社区宣传栏等媒体形式，及时宣传党和政府的理论政策，国内国际大事，街道动态以及街道公共服务、行政服务、政策解读、城市管理等便民信息。全年共主动公开信息1685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4、规范公开流程。一是完善主动公开制度。及时主动地向社会公开政府信息，暂时不宜公开的政府信息，公开事项如变更、撤销或终止要及时公布并做出说明。二是完善依申请公开制度。明确公开政府信息的方式、答复申请的期限和收取费用的范围及标准，规范政府信息公开申请的答复，保证公民、法人和其他组织的知情权。三是完善预先审查制度。按照“一事一审”及“预先审查”的原则，由公开部门、分管领导、分管保密工作领导、主管领导进行公开内容的预先审查和把关，确保公开内容准确和范围合理，对于涉及面广、社会影响大、与其他行政机关职责权限有关联的重要政府信息，在公开前报请上级主管部门进行审查，未经批准不得对外公布，确保信息及时准确而又不发生失泄密情况的发生，给群众提供方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default" w:ascii="Calibri" w:hAnsi="Calibri" w:cs="Calibri"/>
          <w:sz w:val="21"/>
          <w:szCs w:val="21"/>
        </w:rPr>
      </w:pPr>
      <w:r>
        <w:rPr>
          <w:rFonts w:hint="eastAsia" w:ascii="楷体" w:hAnsi="楷体" w:eastAsia="楷体" w:cs="楷体"/>
          <w:i w:val="0"/>
          <w:iCs w:val="0"/>
          <w:caps w:val="0"/>
          <w:color w:val="000000"/>
          <w:spacing w:val="0"/>
          <w:sz w:val="30"/>
          <w:szCs w:val="30"/>
          <w:bdr w:val="none" w:color="auto" w:sz="0" w:space="0"/>
          <w:shd w:val="clear" w:fill="FFFFFF"/>
        </w:rPr>
        <w:t>（二）2018年人大建议和政协提案办理结果情况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14"/>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本年度我街道共承办人大建议3个，2个会办1个主办，政协提案3件，2会办，1个单办，由区统一公开，街道未涉及此类信息的公开，已于6月底前完成，并已报区委、区政府联络室通过网站对外公开。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sz w:val="32"/>
          <w:szCs w:val="32"/>
          <w:bdr w:val="none" w:color="auto" w:sz="0" w:space="0"/>
          <w:shd w:val="clear" w:fill="FFFFFF"/>
        </w:rPr>
        <w:t>三、政府信息主动公开情况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default" w:ascii="Calibri" w:hAnsi="Calibri" w:cs="Calibri"/>
          <w:sz w:val="21"/>
          <w:szCs w:val="21"/>
        </w:rPr>
      </w:pPr>
      <w:r>
        <w:rPr>
          <w:rFonts w:hint="eastAsia" w:ascii="楷体" w:hAnsi="楷体" w:eastAsia="楷体" w:cs="楷体"/>
          <w:i w:val="0"/>
          <w:iCs w:val="0"/>
          <w:caps w:val="0"/>
          <w:color w:val="000000"/>
          <w:spacing w:val="0"/>
          <w:sz w:val="30"/>
          <w:szCs w:val="30"/>
          <w:bdr w:val="none" w:color="auto" w:sz="0" w:space="0"/>
          <w:shd w:val="clear" w:fill="FFFFFF"/>
        </w:rPr>
        <w:t>（一）公开情况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本单位2018年共主动公开政府信息1685条，其中全文电子化1675条，通过社区宣传栏公开10条。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在主动公开的信息中，法规文件类信息120条，规划计划类信息10条。2018年街道没有涉及到重大建设项目相关工作，重点领域公开信息数791条，其中，主动公开财政预算决算8条；主动公开保障性安居工程建设计划、项目开工和竣工情况，保障性住房的分配和退出等信息数为10条；主动公开食品安全标准，食品生产经营许可、专项检查整治等信息53条；主动公开生产安全事故的政府举措、处理进展、风险预警、防范措施等信息12条；主动公开行政机关对人民群众利益密切相关的公共企事业单位进行监督管理的信息23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default" w:ascii="Calibri" w:hAnsi="Calibri" w:cs="Calibri"/>
          <w:sz w:val="21"/>
          <w:szCs w:val="21"/>
        </w:rPr>
      </w:pPr>
      <w:r>
        <w:rPr>
          <w:rFonts w:hint="eastAsia" w:ascii="楷体" w:hAnsi="楷体" w:eastAsia="楷体" w:cs="楷体"/>
          <w:i w:val="0"/>
          <w:iCs w:val="0"/>
          <w:caps w:val="0"/>
          <w:color w:val="000000"/>
          <w:spacing w:val="0"/>
          <w:sz w:val="30"/>
          <w:szCs w:val="30"/>
          <w:bdr w:val="none" w:color="auto" w:sz="0" w:space="0"/>
          <w:shd w:val="clear" w:fill="FFFFFF"/>
        </w:rPr>
        <w:t>（二）公开形式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街道采取了不同渠道和方式公开政府信息的情况，通过街道白纸坊报公开政府信息24条，街道网站公开政府信息1251条；通过街道政务微博公开政府信息180条；通过街道政务微信公开政府信息220条；通过社区宣传栏公开政府信息10条；积极发挥公共资源配置领域作用，方便居民办事，通过街道政务服务大厅医保和社保等自助服务终端公开办事指南117条，服务中心制定了标注辖区内服务网站的便民服务占位图向居民开放，方便居民查阅，全年共查阅上1万多次。为及时反映街道的工作信息，我们还通过《白纸坊报》、微博微信及时反映辖区内的生产生活情况，为方便居民业务办理，街道在政务服务大厅设立了专人负责接待群众查询，并根据各项工作内容的调整情况及时更新公开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2" w:beforeAutospacing="0" w:after="312" w:afterAutospacing="0" w:line="56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sz w:val="32"/>
          <w:szCs w:val="32"/>
          <w:bdr w:val="none" w:color="auto" w:sz="0" w:space="0"/>
          <w:shd w:val="clear" w:fill="FFFFFF"/>
        </w:rPr>
        <w:t>四、政府信息依申请公开情况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default" w:ascii="Calibri" w:hAnsi="Calibri" w:cs="Calibri"/>
          <w:sz w:val="21"/>
          <w:szCs w:val="21"/>
        </w:rPr>
      </w:pPr>
      <w:r>
        <w:rPr>
          <w:rFonts w:hint="eastAsia" w:ascii="楷体" w:hAnsi="楷体" w:eastAsia="楷体" w:cs="楷体"/>
          <w:i w:val="0"/>
          <w:iCs w:val="0"/>
          <w:caps w:val="0"/>
          <w:color w:val="000000"/>
          <w:spacing w:val="0"/>
          <w:sz w:val="30"/>
          <w:szCs w:val="30"/>
          <w:bdr w:val="none" w:color="auto" w:sz="0" w:space="0"/>
          <w:shd w:val="clear" w:fill="FFFFFF"/>
        </w:rPr>
        <w:t>（一）申请情况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我街道2018年度共收到政府信息公开申请5件。其中，当面申请3件，网络申请1件，信函申请1件。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从申请的信息内容来看，40%是机构职能类信息，0%是法规文件类信息，0%是规划计划类信息，0%是行政职责类信息，60%是业务动态类信息。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default" w:ascii="Calibri" w:hAnsi="Calibri" w:cs="Calibri"/>
          <w:sz w:val="21"/>
          <w:szCs w:val="21"/>
        </w:rPr>
      </w:pPr>
      <w:r>
        <w:rPr>
          <w:rFonts w:hint="eastAsia" w:ascii="楷体" w:hAnsi="楷体" w:eastAsia="楷体" w:cs="楷体"/>
          <w:i w:val="0"/>
          <w:iCs w:val="0"/>
          <w:caps w:val="0"/>
          <w:color w:val="000000"/>
          <w:spacing w:val="0"/>
          <w:sz w:val="30"/>
          <w:szCs w:val="30"/>
          <w:bdr w:val="none" w:color="auto" w:sz="0" w:space="0"/>
          <w:shd w:val="clear" w:fill="FFFFFF"/>
        </w:rPr>
        <w:t>（二）答复情况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5件依申请均已按要求进行了答复：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“同意公开”的3件，占总数的60%。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“同意部分公开”的0件，占总数0%。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“不同意公开”的0件，占总数0%。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不属于本行政机关公开数2件，占总数40%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“信息不存在”的0件，占总数的0％。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“告知作出更改补充数”的0件，占总数的0％。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“告知通过其他途径办理数”的0件，占总数的0％</w:t>
      </w:r>
      <w:r>
        <w:rPr>
          <w:rFonts w:hint="eastAsia" w:ascii="仿宋" w:hAnsi="仿宋" w:eastAsia="仿宋" w:cs="仿宋"/>
          <w:i w:val="0"/>
          <w:iCs w:val="0"/>
          <w:caps w:val="0"/>
          <w:color w:val="000000"/>
          <w:spacing w:val="0"/>
          <w:sz w:val="30"/>
          <w:szCs w:val="30"/>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default" w:ascii="Calibri" w:hAnsi="Calibri" w:cs="Calibri"/>
          <w:sz w:val="21"/>
          <w:szCs w:val="21"/>
        </w:rPr>
      </w:pPr>
      <w:r>
        <w:rPr>
          <w:rFonts w:hint="eastAsia" w:ascii="楷体" w:hAnsi="楷体" w:eastAsia="楷体" w:cs="楷体"/>
          <w:i w:val="0"/>
          <w:iCs w:val="0"/>
          <w:caps w:val="0"/>
          <w:color w:val="000000"/>
          <w:spacing w:val="0"/>
          <w:sz w:val="30"/>
          <w:szCs w:val="30"/>
          <w:bdr w:val="none" w:color="auto" w:sz="0" w:space="0"/>
          <w:shd w:val="clear" w:fill="FFFFFF"/>
        </w:rPr>
        <w:t>（三）其他需要说明的问题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从申请的对象分析，以本地公民为主，占全部申请的100％。</w:t>
      </w:r>
      <w:r>
        <w:rPr>
          <w:rFonts w:hint="eastAsia" w:ascii="仿宋" w:hAnsi="仿宋" w:eastAsia="仿宋" w:cs="仿宋"/>
          <w:i w:val="0"/>
          <w:iCs w:val="0"/>
          <w:caps w:val="0"/>
          <w:color w:val="000000"/>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sz w:val="32"/>
          <w:szCs w:val="32"/>
          <w:bdr w:val="none" w:color="auto" w:sz="0" w:space="0"/>
          <w:shd w:val="clear" w:fill="FFFFFF"/>
        </w:rPr>
        <w:t>五、人员和收支情况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default" w:ascii="Calibri" w:hAnsi="Calibri" w:cs="Calibri"/>
          <w:sz w:val="21"/>
          <w:szCs w:val="21"/>
        </w:rPr>
      </w:pPr>
      <w:r>
        <w:rPr>
          <w:rFonts w:hint="eastAsia" w:ascii="楷体" w:hAnsi="楷体" w:eastAsia="楷体" w:cs="楷体"/>
          <w:i w:val="0"/>
          <w:iCs w:val="0"/>
          <w:caps w:val="0"/>
          <w:color w:val="000000"/>
          <w:spacing w:val="0"/>
          <w:sz w:val="30"/>
          <w:szCs w:val="30"/>
          <w:bdr w:val="none" w:color="auto" w:sz="0" w:space="0"/>
          <w:shd w:val="clear" w:fill="FFFFFF"/>
        </w:rPr>
        <w:t>（一）人员及经费情况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default" w:ascii="Calibri" w:hAnsi="Calibri" w:cs="Calibri"/>
          <w:sz w:val="21"/>
          <w:szCs w:val="21"/>
        </w:rPr>
      </w:pPr>
      <w:r>
        <w:rPr>
          <w:rFonts w:hint="eastAsia" w:ascii="楷体" w:hAnsi="楷体" w:eastAsia="楷体" w:cs="楷体"/>
          <w:i w:val="0"/>
          <w:iCs w:val="0"/>
          <w:caps w:val="0"/>
          <w:color w:val="000000"/>
          <w:spacing w:val="0"/>
          <w:sz w:val="30"/>
          <w:szCs w:val="30"/>
          <w:bdr w:val="none" w:color="auto" w:sz="0" w:space="0"/>
          <w:shd w:val="clear" w:fill="FFFFFF"/>
        </w:rPr>
        <w:t>　　</w:t>
      </w:r>
      <w:r>
        <w:rPr>
          <w:rFonts w:hint="eastAsia" w:ascii="仿宋" w:hAnsi="仿宋" w:eastAsia="仿宋" w:cs="仿宋"/>
          <w:i w:val="0"/>
          <w:iCs w:val="0"/>
          <w:caps w:val="0"/>
          <w:color w:val="000000"/>
          <w:spacing w:val="0"/>
          <w:sz w:val="32"/>
          <w:szCs w:val="32"/>
          <w:bdr w:val="none" w:color="auto" w:sz="0" w:space="0"/>
          <w:shd w:val="clear" w:fill="FFFFFF"/>
        </w:rPr>
        <w:t>街道从事政府信息公开工作有5个科室，设置政府信息公开查阅点2个，从事政府信息公开工作人员5人，均为兼职人员。政府信息公开专项经费6万余元；全年召开政务公开工作会议或主任办公讨论政务公开3次；参加各类培训班5次，接受培训人员32人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default" w:ascii="Calibri" w:hAnsi="Calibri" w:cs="Calibri"/>
          <w:sz w:val="21"/>
          <w:szCs w:val="21"/>
        </w:rPr>
      </w:pPr>
      <w:r>
        <w:rPr>
          <w:rFonts w:hint="eastAsia" w:ascii="楷体" w:hAnsi="楷体" w:eastAsia="楷体" w:cs="楷体"/>
          <w:i w:val="0"/>
          <w:iCs w:val="0"/>
          <w:caps w:val="0"/>
          <w:color w:val="000000"/>
          <w:spacing w:val="0"/>
          <w:sz w:val="30"/>
          <w:szCs w:val="30"/>
          <w:bdr w:val="none" w:color="auto" w:sz="0" w:space="0"/>
          <w:shd w:val="clear" w:fill="FFFFFF"/>
        </w:rPr>
        <w:t>（二）依申请公开政府信息收费情况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2018年本单位依申请政府信息公开因公开信息为街道系统数据或也做为主动公开内容，查找比较方便故未收取相关费用。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default" w:ascii="Calibri" w:hAnsi="Calibri" w:cs="Calibri"/>
          <w:sz w:val="21"/>
          <w:szCs w:val="21"/>
        </w:rPr>
      </w:pPr>
      <w:r>
        <w:rPr>
          <w:rFonts w:hint="eastAsia" w:ascii="楷体" w:hAnsi="楷体" w:eastAsia="楷体" w:cs="楷体"/>
          <w:i w:val="0"/>
          <w:iCs w:val="0"/>
          <w:caps w:val="0"/>
          <w:color w:val="000000"/>
          <w:spacing w:val="0"/>
          <w:sz w:val="30"/>
          <w:szCs w:val="30"/>
          <w:bdr w:val="none" w:color="auto" w:sz="0" w:space="0"/>
          <w:shd w:val="clear" w:fill="FFFFFF"/>
        </w:rPr>
        <w:t>（三）依申请公开政府信息减免收费情况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2018年本单位未发生依申请公开政府信息减免情况。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default" w:ascii="Calibri" w:hAnsi="Calibri" w:cs="Calibri"/>
          <w:sz w:val="21"/>
          <w:szCs w:val="21"/>
        </w:rPr>
      </w:pPr>
      <w:r>
        <w:rPr>
          <w:rFonts w:hint="eastAsia" w:ascii="楷体" w:hAnsi="楷体" w:eastAsia="楷体" w:cs="楷体"/>
          <w:i w:val="0"/>
          <w:iCs w:val="0"/>
          <w:caps w:val="0"/>
          <w:color w:val="000000"/>
          <w:spacing w:val="0"/>
          <w:sz w:val="30"/>
          <w:szCs w:val="30"/>
          <w:bdr w:val="none" w:color="auto" w:sz="0" w:space="0"/>
          <w:shd w:val="clear" w:fill="FFFFFF"/>
        </w:rPr>
        <w:t>（四）与诉讼有关的费用支出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2018年本单位未发生依申请公开政府信息方面的诉讼费用。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sz w:val="32"/>
          <w:szCs w:val="32"/>
          <w:bdr w:val="none" w:color="auto" w:sz="0" w:space="0"/>
          <w:shd w:val="clear" w:fill="FFFFFF"/>
        </w:rPr>
        <w:t>六、咨询情况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2018年，街道接待群众来电、来访2000余件。街道公共服务大厅共接待办事居民来电、来访及业务办理25608件，其中接待居民来电咨询6950件，窗口咨询10958件，窗口办理业务7700件。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2" w:beforeAutospacing="0" w:after="312" w:afterAutospacing="0" w:line="56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sz w:val="32"/>
          <w:szCs w:val="32"/>
          <w:bdr w:val="none" w:color="auto" w:sz="0" w:space="0"/>
          <w:shd w:val="clear" w:fill="FFFFFF"/>
        </w:rPr>
        <w:t>七、行政复议和行政诉讼情况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default" w:ascii="Calibri" w:hAnsi="Calibri" w:cs="Calibri"/>
          <w:sz w:val="21"/>
          <w:szCs w:val="21"/>
        </w:rPr>
      </w:pPr>
      <w:r>
        <w:rPr>
          <w:rFonts w:hint="eastAsia" w:ascii="仿宋" w:hAnsi="仿宋" w:eastAsia="仿宋" w:cs="仿宋"/>
          <w:i w:val="0"/>
          <w:iCs w:val="0"/>
          <w:caps w:val="0"/>
          <w:color w:val="000000"/>
          <w:spacing w:val="0"/>
          <w:sz w:val="30"/>
          <w:szCs w:val="30"/>
          <w:bdr w:val="none" w:color="auto" w:sz="0" w:space="0"/>
          <w:shd w:val="clear" w:fill="FFFFFF"/>
        </w:rPr>
        <w:t>　</w:t>
      </w:r>
      <w:r>
        <w:rPr>
          <w:rFonts w:hint="eastAsia" w:ascii="仿宋" w:hAnsi="仿宋" w:eastAsia="仿宋" w:cs="仿宋"/>
          <w:i w:val="0"/>
          <w:iCs w:val="0"/>
          <w:caps w:val="0"/>
          <w:color w:val="000000"/>
          <w:spacing w:val="0"/>
          <w:sz w:val="32"/>
          <w:szCs w:val="32"/>
          <w:bdr w:val="none" w:color="auto" w:sz="0" w:space="0"/>
          <w:shd w:val="clear" w:fill="FFFFFF"/>
        </w:rPr>
        <w:t>　2018年，针对本单位政府信息公开的行政复议申请0件；针对本单位政府信息公开的行政诉讼案0件；针对本单位政府信息公开的申诉案0件。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2" w:beforeAutospacing="0" w:after="312" w:afterAutospacing="0" w:line="560"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000000"/>
          <w:spacing w:val="0"/>
          <w:sz w:val="32"/>
          <w:szCs w:val="32"/>
          <w:bdr w:val="none" w:color="auto" w:sz="0" w:space="0"/>
          <w:shd w:val="clear" w:fill="FFFFFF"/>
        </w:rPr>
        <w:t>八、主要问题和改进措施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主要问题：一是街道一些信息公开宣传还不够，宣传的方法还相对单一，与居民对接还不充分，居民对于网上政府信息公开查阅途径知晓率低，大部分居民尤其是中老年人，仍然采取现场咨询的方式。改进措施：2019年我街道将继续加大政府信息公开的宣传力度，丰富宣传手段，积极发挥政务微博、微信的作用，加强对社区、居民通报的力度，同时深入社区居民中间，开展现场互动，进行实地体验等方式，让更多的群众了解政府信息公开的情况，提升信息公开效果，方便各阶层、各年龄段的居民获取信息。二是负责政务公开的人员业务还不够全面，工作不够细致，在依申请答复中出现了一些错误，对群众咨询的问题答复还缺乏专业性。改进措施：今年街道将加大对所属人员的业务培训和能力考核，挑选能力较强人充实到政务公开工作中来，加强业务培训，全面强化人员的业务水平，严格各类公开信息的检查审核，不断提升为民服务的水平和质量，让群众满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8"/>
          <w:szCs w:val="28"/>
          <w:bdr w:val="none" w:color="auto" w:sz="0" w:space="0"/>
          <w:shd w:val="clear" w:fill="FFFFFF"/>
        </w:rPr>
        <w:t>政府信息公开情况统计表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宋体" w:hAnsi="宋体" w:eastAsia="宋体" w:cs="宋体"/>
          <w:sz w:val="24"/>
          <w:szCs w:val="24"/>
        </w:rPr>
      </w:pPr>
      <w:r>
        <w:rPr>
          <w:rStyle w:val="5"/>
          <w:rFonts w:hint="eastAsia" w:ascii="宋体" w:hAnsi="宋体" w:eastAsia="宋体" w:cs="宋体"/>
          <w:i w:val="0"/>
          <w:iCs w:val="0"/>
          <w:caps w:val="0"/>
          <w:color w:val="000000"/>
          <w:spacing w:val="0"/>
          <w:sz w:val="28"/>
          <w:szCs w:val="28"/>
          <w:bdr w:val="none" w:color="auto" w:sz="0" w:space="0"/>
          <w:shd w:val="clear" w:fill="FFFFFF"/>
        </w:rPr>
        <w:t>（2018年度）</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460"/>
        <w:gridCol w:w="585"/>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546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Style w:val="5"/>
                <w:sz w:val="24"/>
                <w:szCs w:val="24"/>
                <w:bdr w:val="none" w:color="auto" w:sz="0" w:space="0"/>
              </w:rPr>
              <w:t>统</w:t>
            </w:r>
            <w:r>
              <w:rPr>
                <w:rStyle w:val="5"/>
                <w:rFonts w:hint="default" w:ascii="Arial" w:hAnsi="Arial" w:cs="Arial"/>
                <w:sz w:val="24"/>
                <w:szCs w:val="24"/>
                <w:bdr w:val="none" w:color="auto" w:sz="0" w:space="0"/>
              </w:rPr>
              <w:t> </w:t>
            </w:r>
            <w:r>
              <w:rPr>
                <w:rStyle w:val="5"/>
                <w:sz w:val="24"/>
                <w:szCs w:val="24"/>
                <w:bdr w:val="none" w:color="auto" w:sz="0" w:space="0"/>
              </w:rPr>
              <w:t>计</w:t>
            </w:r>
            <w:r>
              <w:rPr>
                <w:rStyle w:val="5"/>
                <w:rFonts w:hint="default" w:ascii="Arial" w:hAnsi="Arial" w:cs="Arial"/>
                <w:sz w:val="24"/>
                <w:szCs w:val="24"/>
                <w:bdr w:val="none" w:color="auto" w:sz="0" w:space="0"/>
              </w:rPr>
              <w:t> </w:t>
            </w:r>
            <w:r>
              <w:rPr>
                <w:rStyle w:val="5"/>
                <w:sz w:val="24"/>
                <w:szCs w:val="24"/>
                <w:bdr w:val="none" w:color="auto" w:sz="0" w:space="0"/>
              </w:rPr>
              <w:t>指</w:t>
            </w:r>
            <w:r>
              <w:rPr>
                <w:rStyle w:val="5"/>
                <w:rFonts w:hint="default" w:ascii="Arial" w:hAnsi="Arial" w:cs="Arial"/>
                <w:sz w:val="24"/>
                <w:szCs w:val="24"/>
                <w:bdr w:val="none" w:color="auto" w:sz="0" w:space="0"/>
              </w:rPr>
              <w:t> </w:t>
            </w:r>
            <w:r>
              <w:rPr>
                <w:rStyle w:val="5"/>
                <w:sz w:val="24"/>
                <w:szCs w:val="24"/>
                <w:bdr w:val="none" w:color="auto" w:sz="0" w:space="0"/>
              </w:rPr>
              <w:t>标</w:t>
            </w:r>
          </w:p>
        </w:tc>
        <w:tc>
          <w:tcPr>
            <w:tcW w:w="58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Style w:val="5"/>
                <w:rFonts w:ascii="等线" w:hAnsi="等线" w:eastAsia="等线" w:cs="等线"/>
                <w:sz w:val="24"/>
                <w:szCs w:val="24"/>
                <w:bdr w:val="none" w:color="auto" w:sz="0" w:space="0"/>
              </w:rPr>
              <w:t>单位</w:t>
            </w:r>
          </w:p>
        </w:tc>
        <w:tc>
          <w:tcPr>
            <w:tcW w:w="73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Style w:val="5"/>
                <w:sz w:val="24"/>
                <w:szCs w:val="24"/>
                <w:bdr w:val="none" w:color="auto" w:sz="0" w:space="0"/>
              </w:rPr>
              <w:t>统计数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一、主动公开情况</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jc w:val="left"/>
              <w:rPr>
                <w:sz w:val="18"/>
                <w:szCs w:val="18"/>
              </w:rPr>
            </w:pPr>
          </w:p>
        </w:tc>
        <w:tc>
          <w:tcPr>
            <w:tcW w:w="7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（一）主动公开政府信息数（不同渠道和方式公开相同信息计</w:t>
            </w:r>
            <w:r>
              <w:rPr>
                <w:rFonts w:hint="default" w:ascii="Arial" w:hAnsi="Arial" w:cs="Arial"/>
                <w:sz w:val="24"/>
                <w:szCs w:val="24"/>
                <w:bdr w:val="none" w:color="auto" w:sz="0" w:space="0"/>
              </w:rPr>
              <w:t>1</w:t>
            </w:r>
            <w:r>
              <w:rPr>
                <w:sz w:val="24"/>
                <w:szCs w:val="24"/>
                <w:bdr w:val="none" w:color="auto" w:sz="0" w:space="0"/>
              </w:rPr>
              <w:t>条）</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条</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1685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其中：主动公开规范性文件数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条</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制发规范性文件总数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（二）重点领域公开政府信息数（不同渠道和方式公开相同信息计</w:t>
            </w:r>
            <w:r>
              <w:rPr>
                <w:rFonts w:hint="default" w:ascii="Arial" w:hAnsi="Arial" w:cs="Arial"/>
                <w:sz w:val="24"/>
                <w:szCs w:val="24"/>
                <w:bdr w:val="none" w:color="auto" w:sz="0" w:space="0"/>
              </w:rPr>
              <w:t>1</w:t>
            </w:r>
            <w:r>
              <w:rPr>
                <w:sz w:val="24"/>
                <w:szCs w:val="24"/>
                <w:bdr w:val="none" w:color="auto" w:sz="0" w:space="0"/>
              </w:rPr>
              <w:t>条）</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条</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其中：主动公开财政预算决算、</w:t>
            </w:r>
            <w:r>
              <w:rPr>
                <w:rFonts w:hint="default" w:ascii="Arial" w:hAnsi="Arial" w:cs="Arial"/>
                <w:sz w:val="24"/>
                <w:szCs w:val="24"/>
                <w:bdr w:val="none" w:color="auto" w:sz="0" w:space="0"/>
              </w:rPr>
              <w:t>“</w:t>
            </w:r>
            <w:r>
              <w:rPr>
                <w:sz w:val="24"/>
                <w:szCs w:val="24"/>
                <w:bdr w:val="none" w:color="auto" w:sz="0" w:space="0"/>
              </w:rPr>
              <w:t>三公经费</w:t>
            </w:r>
            <w:r>
              <w:rPr>
                <w:rFonts w:hint="default" w:ascii="Arial" w:hAnsi="Arial" w:cs="Arial"/>
                <w:sz w:val="24"/>
                <w:szCs w:val="24"/>
                <w:bdr w:val="none" w:color="auto" w:sz="0" w:space="0"/>
              </w:rPr>
              <w:t>”</w:t>
            </w:r>
            <w:r>
              <w:rPr>
                <w:sz w:val="24"/>
                <w:szCs w:val="24"/>
                <w:bdr w:val="none" w:color="auto" w:sz="0" w:space="0"/>
              </w:rPr>
              <w:t>和行政经费信息数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条</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主动公开保障性安居工程建设计划、项目开工和竣工情况，保障性住房的分配和退出等信息数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条</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主动公开食品安全标准，食品生产经营许可、专项检查整治等信息数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条</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主动公开环境核查审批、环境状况公报和重特大突发环境事件等信息数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条</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主动公开招投标违法违规行为及处理情况、国有资金占控股或者主导地位依法应当招标的项目等信息数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条</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主动公开生产安全事故的政府举措、处置进展、风险预警、防范措施等信息数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条</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主动公开农用地转为建设用地批准、征收集体土地批准、征地公告</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条</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主动公开政府指导价、政府定价和收费标准调整的项目、价格、依据、执行时间和范围等信息数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条</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主动公开本市企业信用信息系统中的警示信息和良好信息等信息数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条</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主动公开政府部门预算执行审计结果等信息数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条</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主动公开行政机关对与人民群众利益密切相关的公共企事业单位进行监督管理的信息数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条</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主动公开市人民政府决定主动公开的其他信息数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条</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（三）通过不同渠道和方式公开政府信息的情况</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jc w:val="left"/>
              <w:rPr>
                <w:sz w:val="18"/>
                <w:szCs w:val="18"/>
              </w:rPr>
            </w:pPr>
          </w:p>
        </w:tc>
        <w:tc>
          <w:tcPr>
            <w:tcW w:w="7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default" w:ascii="Arial" w:hAnsi="Arial" w:cs="Arial"/>
                <w:sz w:val="24"/>
                <w:szCs w:val="24"/>
                <w:bdr w:val="none" w:color="auto" w:sz="0" w:space="0"/>
              </w:rPr>
              <w:t>1.</w:t>
            </w:r>
            <w:r>
              <w:rPr>
                <w:sz w:val="24"/>
                <w:szCs w:val="24"/>
                <w:bdr w:val="none" w:color="auto" w:sz="0" w:space="0"/>
              </w:rPr>
              <w:t>政府公报公开政府信息数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条</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default" w:ascii="Arial" w:hAnsi="Arial" w:cs="Arial"/>
                <w:sz w:val="24"/>
                <w:szCs w:val="24"/>
                <w:bdr w:val="none" w:color="auto" w:sz="0" w:space="0"/>
              </w:rPr>
              <w:t>2.</w:t>
            </w:r>
            <w:r>
              <w:rPr>
                <w:sz w:val="24"/>
                <w:szCs w:val="24"/>
                <w:bdr w:val="none" w:color="auto" w:sz="0" w:space="0"/>
              </w:rPr>
              <w:t>政府网站公开政府信息数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条</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1251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default" w:ascii="Arial" w:hAnsi="Arial" w:cs="Arial"/>
                <w:sz w:val="24"/>
                <w:szCs w:val="24"/>
                <w:bdr w:val="none" w:color="auto" w:sz="0" w:space="0"/>
              </w:rPr>
              <w:t>3.</w:t>
            </w:r>
            <w:r>
              <w:rPr>
                <w:sz w:val="24"/>
                <w:szCs w:val="24"/>
                <w:bdr w:val="none" w:color="auto" w:sz="0" w:space="0"/>
              </w:rPr>
              <w:t>政务微博公开政府信息数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条</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default" w:ascii="Arial" w:hAnsi="Arial" w:cs="Arial"/>
                <w:sz w:val="24"/>
                <w:szCs w:val="24"/>
                <w:bdr w:val="none" w:color="auto" w:sz="0" w:space="0"/>
              </w:rPr>
              <w:t>4.</w:t>
            </w:r>
            <w:r>
              <w:rPr>
                <w:sz w:val="24"/>
                <w:szCs w:val="24"/>
                <w:bdr w:val="none" w:color="auto" w:sz="0" w:space="0"/>
              </w:rPr>
              <w:t>政务微信公开政府信息数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条</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default" w:ascii="Arial" w:hAnsi="Arial" w:cs="Arial"/>
                <w:sz w:val="24"/>
                <w:szCs w:val="24"/>
                <w:bdr w:val="none" w:color="auto" w:sz="0" w:space="0"/>
              </w:rPr>
              <w:t>5.</w:t>
            </w:r>
            <w:r>
              <w:rPr>
                <w:sz w:val="24"/>
                <w:szCs w:val="24"/>
                <w:bdr w:val="none" w:color="auto" w:sz="0" w:space="0"/>
              </w:rPr>
              <w:t>其他方式公开政府信息数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条</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二、回应解读情况</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jc w:val="left"/>
              <w:rPr>
                <w:sz w:val="18"/>
                <w:szCs w:val="18"/>
              </w:rPr>
            </w:pPr>
          </w:p>
        </w:tc>
        <w:tc>
          <w:tcPr>
            <w:tcW w:w="7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（一）回应公众关注热点或重大舆情数（不同方式回应同一热点或舆情计</w:t>
            </w:r>
            <w:r>
              <w:rPr>
                <w:rFonts w:hint="default" w:ascii="Arial" w:hAnsi="Arial" w:cs="Arial"/>
                <w:sz w:val="24"/>
                <w:szCs w:val="24"/>
                <w:bdr w:val="none" w:color="auto" w:sz="0" w:space="0"/>
              </w:rPr>
              <w:t>1</w:t>
            </w:r>
            <w:r>
              <w:rPr>
                <w:sz w:val="24"/>
                <w:szCs w:val="24"/>
                <w:bdr w:val="none" w:color="auto" w:sz="0" w:space="0"/>
              </w:rPr>
              <w:t>次）</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次</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（二）通过不同渠道和方式回应解读的情况</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jc w:val="left"/>
              <w:rPr>
                <w:sz w:val="18"/>
                <w:szCs w:val="18"/>
              </w:rPr>
            </w:pP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default" w:ascii="Arial" w:hAnsi="Arial" w:cs="Arial"/>
                <w:sz w:val="24"/>
                <w:szCs w:val="24"/>
                <w:bdr w:val="none" w:color="auto" w:sz="0" w:space="0"/>
              </w:rPr>
              <w:t>1.</w:t>
            </w:r>
            <w:r>
              <w:rPr>
                <w:sz w:val="24"/>
                <w:szCs w:val="24"/>
                <w:bdr w:val="none" w:color="auto" w:sz="0" w:space="0"/>
              </w:rPr>
              <w:t>参加或举办新闻发布会总次数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次</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其中：主要负责同志参加新闻发布会次数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次</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default" w:ascii="Arial" w:hAnsi="Arial" w:cs="Arial"/>
                <w:sz w:val="24"/>
                <w:szCs w:val="24"/>
                <w:bdr w:val="none" w:color="auto" w:sz="0" w:space="0"/>
              </w:rPr>
              <w:t>2.</w:t>
            </w:r>
            <w:r>
              <w:rPr>
                <w:sz w:val="24"/>
                <w:szCs w:val="24"/>
                <w:bdr w:val="none" w:color="auto" w:sz="0" w:space="0"/>
              </w:rPr>
              <w:t>政府网站在线访谈次数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次</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其中：主要负责同志参加政府网站在线访谈次数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次</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default" w:ascii="Arial" w:hAnsi="Arial" w:cs="Arial"/>
                <w:sz w:val="24"/>
                <w:szCs w:val="24"/>
                <w:bdr w:val="none" w:color="auto" w:sz="0" w:space="0"/>
              </w:rPr>
              <w:t>3.</w:t>
            </w:r>
            <w:r>
              <w:rPr>
                <w:sz w:val="24"/>
                <w:szCs w:val="24"/>
                <w:bdr w:val="none" w:color="auto" w:sz="0" w:space="0"/>
              </w:rPr>
              <w:t>政策解读稿件发布数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篇</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default" w:ascii="Arial" w:hAnsi="Arial" w:cs="Arial"/>
                <w:sz w:val="24"/>
                <w:szCs w:val="24"/>
                <w:bdr w:val="none" w:color="auto" w:sz="0" w:space="0"/>
              </w:rPr>
              <w:t>4.</w:t>
            </w:r>
            <w:r>
              <w:rPr>
                <w:sz w:val="24"/>
                <w:szCs w:val="24"/>
                <w:bdr w:val="none" w:color="auto" w:sz="0" w:space="0"/>
              </w:rPr>
              <w:t>微博微信回应事件数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次</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default" w:ascii="Arial" w:hAnsi="Arial" w:cs="Arial"/>
                <w:sz w:val="24"/>
                <w:szCs w:val="24"/>
                <w:bdr w:val="none" w:color="auto" w:sz="0" w:space="0"/>
              </w:rPr>
              <w:t>5.</w:t>
            </w:r>
            <w:r>
              <w:rPr>
                <w:sz w:val="24"/>
                <w:szCs w:val="24"/>
                <w:bdr w:val="none" w:color="auto" w:sz="0" w:space="0"/>
              </w:rPr>
              <w:t>其他方式回应事件数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次</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三、依申请公开情况</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jc w:val="left"/>
              <w:rPr>
                <w:sz w:val="18"/>
                <w:szCs w:val="18"/>
              </w:rPr>
            </w:pPr>
          </w:p>
        </w:tc>
        <w:tc>
          <w:tcPr>
            <w:tcW w:w="7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（一）收到申请数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default" w:ascii="Arial" w:hAnsi="Arial" w:cs="Arial"/>
                <w:sz w:val="24"/>
                <w:szCs w:val="24"/>
                <w:bdr w:val="none" w:color="auto" w:sz="0" w:space="0"/>
              </w:rPr>
              <w:t>1.</w:t>
            </w:r>
            <w:r>
              <w:rPr>
                <w:sz w:val="24"/>
                <w:szCs w:val="24"/>
                <w:bdr w:val="none" w:color="auto" w:sz="0" w:space="0"/>
              </w:rPr>
              <w:t>当面申请数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default" w:ascii="Arial" w:hAnsi="Arial" w:cs="Arial"/>
                <w:sz w:val="24"/>
                <w:szCs w:val="24"/>
                <w:bdr w:val="none" w:color="auto" w:sz="0" w:space="0"/>
              </w:rPr>
              <w:t>2.</w:t>
            </w:r>
            <w:r>
              <w:rPr>
                <w:sz w:val="24"/>
                <w:szCs w:val="24"/>
                <w:bdr w:val="none" w:color="auto" w:sz="0" w:space="0"/>
              </w:rPr>
              <w:t>传真申请数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default" w:ascii="Arial" w:hAnsi="Arial" w:cs="Arial"/>
                <w:sz w:val="24"/>
                <w:szCs w:val="24"/>
                <w:bdr w:val="none" w:color="auto" w:sz="0" w:space="0"/>
              </w:rPr>
              <w:t>3.</w:t>
            </w:r>
            <w:r>
              <w:rPr>
                <w:sz w:val="24"/>
                <w:szCs w:val="24"/>
                <w:bdr w:val="none" w:color="auto" w:sz="0" w:space="0"/>
              </w:rPr>
              <w:t>网络申请数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default" w:ascii="Arial" w:hAnsi="Arial" w:cs="Arial"/>
                <w:sz w:val="24"/>
                <w:szCs w:val="24"/>
                <w:bdr w:val="none" w:color="auto" w:sz="0" w:space="0"/>
              </w:rPr>
              <w:t>4.</w:t>
            </w:r>
            <w:r>
              <w:rPr>
                <w:sz w:val="24"/>
                <w:szCs w:val="24"/>
                <w:bdr w:val="none" w:color="auto" w:sz="0" w:space="0"/>
              </w:rPr>
              <w:t>信函申请数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（二）申请办结数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default" w:ascii="Arial" w:hAnsi="Arial" w:cs="Arial"/>
                <w:sz w:val="24"/>
                <w:szCs w:val="24"/>
                <w:bdr w:val="none" w:color="auto" w:sz="0" w:space="0"/>
              </w:rPr>
              <w:t>1.</w:t>
            </w:r>
            <w:r>
              <w:rPr>
                <w:sz w:val="24"/>
                <w:szCs w:val="24"/>
                <w:bdr w:val="none" w:color="auto" w:sz="0" w:space="0"/>
              </w:rPr>
              <w:t>按时办结数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default" w:ascii="Arial" w:hAnsi="Arial" w:cs="Arial"/>
                <w:sz w:val="24"/>
                <w:szCs w:val="24"/>
                <w:bdr w:val="none" w:color="auto" w:sz="0" w:space="0"/>
              </w:rPr>
              <w:t>2.</w:t>
            </w:r>
            <w:r>
              <w:rPr>
                <w:sz w:val="24"/>
                <w:szCs w:val="24"/>
                <w:bdr w:val="none" w:color="auto" w:sz="0" w:space="0"/>
              </w:rPr>
              <w:t>延期办结数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（三）申请答复数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default" w:ascii="Arial" w:hAnsi="Arial" w:cs="Arial"/>
                <w:sz w:val="24"/>
                <w:szCs w:val="24"/>
                <w:bdr w:val="none" w:color="auto" w:sz="0" w:space="0"/>
              </w:rPr>
              <w:t>1.</w:t>
            </w:r>
            <w:r>
              <w:rPr>
                <w:sz w:val="24"/>
                <w:szCs w:val="24"/>
                <w:bdr w:val="none" w:color="auto" w:sz="0" w:space="0"/>
              </w:rPr>
              <w:t>属于已主动公开范围数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default" w:ascii="Arial" w:hAnsi="Arial" w:cs="Arial"/>
                <w:sz w:val="24"/>
                <w:szCs w:val="24"/>
                <w:bdr w:val="none" w:color="auto" w:sz="0" w:space="0"/>
              </w:rPr>
              <w:t>2.</w:t>
            </w:r>
            <w:r>
              <w:rPr>
                <w:sz w:val="24"/>
                <w:szCs w:val="24"/>
                <w:bdr w:val="none" w:color="auto" w:sz="0" w:space="0"/>
              </w:rPr>
              <w:t>同意公开答复数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default" w:ascii="Arial" w:hAnsi="Arial" w:cs="Arial"/>
                <w:sz w:val="24"/>
                <w:szCs w:val="24"/>
                <w:bdr w:val="none" w:color="auto" w:sz="0" w:space="0"/>
              </w:rPr>
              <w:t>3.</w:t>
            </w:r>
            <w:r>
              <w:rPr>
                <w:sz w:val="24"/>
                <w:szCs w:val="24"/>
                <w:bdr w:val="none" w:color="auto" w:sz="0" w:space="0"/>
              </w:rPr>
              <w:t>同意部分公开答复数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default" w:ascii="Arial" w:hAnsi="Arial" w:cs="Arial"/>
                <w:sz w:val="24"/>
                <w:szCs w:val="24"/>
                <w:bdr w:val="none" w:color="auto" w:sz="0" w:space="0"/>
              </w:rPr>
              <w:t>4.</w:t>
            </w:r>
            <w:r>
              <w:rPr>
                <w:sz w:val="24"/>
                <w:szCs w:val="24"/>
                <w:bdr w:val="none" w:color="auto" w:sz="0" w:space="0"/>
              </w:rPr>
              <w:t>不同意公开答复数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其中：涉及国家秘密</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涉及商业秘密</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涉及个人隐私</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危及国家安全、公共安全、经济安全和社会稳定</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不是《条例》所指政府信息</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法律法规规定的其他情形</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default" w:ascii="Arial" w:hAnsi="Arial" w:cs="Arial"/>
                <w:sz w:val="24"/>
                <w:szCs w:val="24"/>
                <w:bdr w:val="none" w:color="auto" w:sz="0" w:space="0"/>
              </w:rPr>
              <w:t>5.</w:t>
            </w:r>
            <w:r>
              <w:rPr>
                <w:sz w:val="24"/>
                <w:szCs w:val="24"/>
                <w:bdr w:val="none" w:color="auto" w:sz="0" w:space="0"/>
              </w:rPr>
              <w:t>不属于本行政机关公开数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default" w:ascii="Arial" w:hAnsi="Arial" w:cs="Arial"/>
                <w:sz w:val="24"/>
                <w:szCs w:val="24"/>
                <w:bdr w:val="none" w:color="auto" w:sz="0" w:space="0"/>
              </w:rPr>
              <w:t>6.</w:t>
            </w:r>
            <w:r>
              <w:rPr>
                <w:sz w:val="24"/>
                <w:szCs w:val="24"/>
                <w:bdr w:val="none" w:color="auto" w:sz="0" w:space="0"/>
              </w:rPr>
              <w:t>申请信息不存在数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default" w:ascii="Arial" w:hAnsi="Arial" w:cs="Arial"/>
                <w:sz w:val="24"/>
                <w:szCs w:val="24"/>
                <w:bdr w:val="none" w:color="auto" w:sz="0" w:space="0"/>
              </w:rPr>
              <w:t>7.</w:t>
            </w:r>
            <w:r>
              <w:rPr>
                <w:sz w:val="24"/>
                <w:szCs w:val="24"/>
                <w:bdr w:val="none" w:color="auto" w:sz="0" w:space="0"/>
              </w:rPr>
              <w:t>告知作出更改补充数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default" w:ascii="Arial" w:hAnsi="Arial" w:cs="Arial"/>
                <w:sz w:val="24"/>
                <w:szCs w:val="24"/>
                <w:bdr w:val="none" w:color="auto" w:sz="0" w:space="0"/>
              </w:rPr>
              <w:t>8.</w:t>
            </w:r>
            <w:r>
              <w:rPr>
                <w:sz w:val="24"/>
                <w:szCs w:val="24"/>
                <w:bdr w:val="none" w:color="auto" w:sz="0" w:space="0"/>
              </w:rPr>
              <w:t>告知通过其他途径办理数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四、行政复议数量</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（一）维持具体行政行为数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（二）被依法纠错数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（三）其他情形数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五、行政诉讼数量</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（一）维持具体行政行为或者驳回原告诉讼请求数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（二）被依法纠错数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（三）其他情形数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六、举报投诉数量</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七、依申请公开信息收取的费用</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件</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八、机构建设和保障经费情况</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jc w:val="left"/>
              <w:rPr>
                <w:sz w:val="18"/>
                <w:szCs w:val="18"/>
              </w:rPr>
            </w:pP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（一）政府信息公开工作专门机构数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个</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（二）设置政府信息公开查阅点数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个</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（三）从事政府信息公开工作人员数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个</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default" w:ascii="Arial" w:hAnsi="Arial" w:cs="Arial"/>
                <w:sz w:val="24"/>
                <w:szCs w:val="24"/>
                <w:bdr w:val="none" w:color="auto" w:sz="0" w:space="0"/>
              </w:rPr>
              <w:t>1.</w:t>
            </w:r>
            <w:r>
              <w:rPr>
                <w:sz w:val="24"/>
                <w:szCs w:val="24"/>
                <w:bdr w:val="none" w:color="auto" w:sz="0" w:space="0"/>
              </w:rPr>
              <w:t>专职人员数（不包括政府公报及政府网站工作人员数）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个</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default" w:ascii="Arial" w:hAnsi="Arial" w:cs="Arial"/>
                <w:sz w:val="24"/>
                <w:szCs w:val="24"/>
                <w:bdr w:val="none" w:color="auto" w:sz="0" w:space="0"/>
              </w:rPr>
              <w:t>2.</w:t>
            </w:r>
            <w:r>
              <w:rPr>
                <w:sz w:val="24"/>
                <w:szCs w:val="24"/>
                <w:bdr w:val="none" w:color="auto" w:sz="0" w:space="0"/>
              </w:rPr>
              <w:t>兼职人员数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个</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（四）政府信息公开专项经费（不包括用于政府公报编辑管理及政府网站建设维护等方面的经费）</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万元</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九、政府信息公开会议和培训情况</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jc w:val="left"/>
              <w:rPr>
                <w:sz w:val="18"/>
                <w:szCs w:val="18"/>
              </w:rPr>
            </w:pPr>
          </w:p>
        </w:tc>
        <w:tc>
          <w:tcPr>
            <w:tcW w:w="7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jc w:val="left"/>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（一）召开政府信息公开工作会议或专题会议数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次</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（二）举办各类培训班数</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次</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5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sz w:val="24"/>
                <w:szCs w:val="24"/>
                <w:bdr w:val="none" w:color="auto" w:sz="0" w:space="0"/>
              </w:rPr>
              <w:t>（三）接受培训人员数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4"/>
                <w:szCs w:val="24"/>
              </w:rPr>
            </w:pPr>
            <w:r>
              <w:rPr>
                <w:rFonts w:hint="default" w:ascii="Times New Roman" w:hAnsi="Times New Roman" w:cs="Times New Roman"/>
                <w:sz w:val="21"/>
                <w:szCs w:val="21"/>
                <w:bdr w:val="none" w:color="auto" w:sz="0" w:space="0"/>
              </w:rPr>
              <w:t> </w:t>
            </w:r>
          </w:p>
        </w:tc>
        <w:tc>
          <w:tcPr>
            <w:tcW w:w="58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sz w:val="24"/>
                <w:szCs w:val="24"/>
                <w:bdr w:val="none" w:color="auto" w:sz="0" w:space="0"/>
              </w:rPr>
              <w:t>人次</w:t>
            </w:r>
          </w:p>
        </w:tc>
        <w:tc>
          <w:tcPr>
            <w:tcW w:w="73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hint="default" w:ascii="Arial" w:hAnsi="Arial" w:cs="Arial"/>
                <w:sz w:val="24"/>
                <w:szCs w:val="24"/>
                <w:bdr w:val="none" w:color="auto" w:sz="0" w:space="0"/>
              </w:rPr>
              <w:t>32</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520"/>
        <w:jc w:val="both"/>
        <w:rPr>
          <w:rFonts w:hint="default" w:ascii="Calibri" w:hAnsi="Calibri" w:cs="Calibri"/>
          <w:sz w:val="21"/>
          <w:szCs w:val="21"/>
        </w:rPr>
      </w:pPr>
      <w:r>
        <w:rPr>
          <w:rFonts w:hint="default" w:ascii="Times New Roman" w:hAnsi="Times New Roman" w:eastAsia="sans-serif"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520"/>
        <w:jc w:val="both"/>
        <w:rPr>
          <w:rFonts w:hint="default" w:ascii="Calibri" w:hAnsi="Calibri" w:cs="Calibri"/>
          <w:sz w:val="21"/>
          <w:szCs w:val="21"/>
        </w:rPr>
      </w:pPr>
      <w:r>
        <w:rPr>
          <w:rFonts w:hint="default" w:ascii="Times New Roman" w:hAnsi="Times New Roman" w:eastAsia="sans-serif"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520"/>
        <w:jc w:val="both"/>
        <w:rPr>
          <w:rFonts w:hint="default" w:ascii="Calibri" w:hAnsi="Calibri" w:cs="Calibri"/>
          <w:sz w:val="21"/>
          <w:szCs w:val="21"/>
        </w:rPr>
      </w:pPr>
      <w:r>
        <w:rPr>
          <w:rFonts w:hint="default" w:ascii="Times New Roman" w:hAnsi="Times New Roman" w:eastAsia="sans-serif"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520"/>
        <w:jc w:val="both"/>
        <w:rPr>
          <w:rFonts w:hint="default" w:ascii="Calibri" w:hAnsi="Calibri" w:cs="Calibri"/>
          <w:sz w:val="21"/>
          <w:szCs w:val="21"/>
        </w:rPr>
      </w:pPr>
      <w:r>
        <w:rPr>
          <w:rFonts w:hint="default" w:ascii="Times New Roman" w:hAnsi="Times New Roman" w:eastAsia="sans-serif"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2019年3月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right"/>
        <w:rPr>
          <w:rFonts w:hint="default" w:ascii="Calibri" w:hAnsi="Calibri" w:cs="Calibri"/>
          <w:sz w:val="21"/>
          <w:szCs w:val="21"/>
        </w:rPr>
      </w:pPr>
      <w:r>
        <w:rPr>
          <w:rFonts w:hint="eastAsia" w:ascii="仿宋" w:hAnsi="仿宋" w:eastAsia="仿宋" w:cs="仿宋"/>
          <w:i w:val="0"/>
          <w:iCs w:val="0"/>
          <w:caps w:val="0"/>
          <w:color w:val="000000"/>
          <w:spacing w:val="0"/>
          <w:sz w:val="32"/>
          <w:szCs w:val="32"/>
          <w:bdr w:val="none" w:color="auto" w:sz="0" w:space="0"/>
          <w:shd w:val="clear" w:fill="FFFFFF"/>
        </w:rPr>
        <w:t>白纸坊街道</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691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炫    飛</cp:lastModifiedBy>
  <dcterms:modified xsi:type="dcterms:W3CDTF">2021-03-04T06:13:33Z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2052-11.1.0.10337</vt:lpwstr>
  </property>
  <property fmtid="{D5CDD505-2E9C-101B-9397-08002B2CF9AE}" pid="3" name="ICV">
    <vt:lpwstr>97C211EC44934F1F9DA7CB1EC85491D3</vt:lpwstr>
  </property>
</Properties>
</file>