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西城区教育委员会政府信息公开2012年度报告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bookmarkStart w:id="0" w:name="_GoBack"/>
      <w:bookmarkEnd w:id="0"/>
      <w:r>
        <w:rPr>
          <w:rFonts w:hint="default" w:ascii="sans-serif" w:hAnsi="sans-serif" w:eastAsia="sans-serif" w:cs="sans-serif"/>
          <w:i w:val="0"/>
          <w:iCs w:val="0"/>
          <w:caps w:val="0"/>
          <w:color w:val="000000"/>
          <w:spacing w:val="0"/>
          <w:kern w:val="0"/>
          <w:sz w:val="24"/>
          <w:szCs w:val="24"/>
          <w:lang w:val="en-US" w:eastAsia="zh-CN" w:bidi="ar"/>
        </w:rPr>
        <w:t> </w:t>
      </w:r>
    </w:p>
    <w:p>
      <w:pPr>
        <w:pStyle w:val="2"/>
        <w:keepNext w:val="0"/>
        <w:keepLines w:val="0"/>
        <w:widowControl/>
        <w:suppressLineNumbers w:val="0"/>
        <w:spacing w:before="75" w:beforeAutospacing="0" w:after="75" w:afterAutospacing="0" w:line="368" w:lineRule="atLeast"/>
        <w:ind w:left="0" w:right="0" w:firstLine="600"/>
      </w:pPr>
      <w:r>
        <w:rPr>
          <w:rFonts w:ascii="仿宋_GB2312" w:hAnsi="sans-serif" w:eastAsia="仿宋_GB2312" w:cs="仿宋_GB2312"/>
          <w:i w:val="0"/>
          <w:iCs w:val="0"/>
          <w:caps w:val="0"/>
          <w:color w:val="000000"/>
          <w:spacing w:val="0"/>
          <w:sz w:val="30"/>
          <w:szCs w:val="30"/>
        </w:rPr>
        <w:t>本报告是根据《中华人民共和国政府信息公开条例》（以下简称《条例》）要求，由西城区教委2012年度政府信息公开年度报告。</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区政府网站（http://www.bjxch.gov.cn）政府信息公开专栏上可下载本报告的电子版。如对本报告有任何疑问，请联系：西城教委法制科66202978。</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一、概述</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西城区教育委员会开展政府信息公开工作，着重在政府信息公开工作的推进、指导、协调和监督方面，加大力度，改进工作，完善机制，提高效率，确保相关工作顺利进行。截至2012年底，本单位政府信息公开工作运行正常，政府信息公开咨询、申请以及答复工作均得到了顺利开展。</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目前，区教委加强政府信息公开基础性工作，完善政府信息公开配套工作。进一步确立、完善组织推进机制、信息发布协调机制、保密审查机制、监督机制等形成了工作方案。信息公开工作呈现出了公开工作开局良好、运行平稳、公众关注、成效显现的良好态势。</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2012年，区教委主动公开政府信息共46条（不包含链接信息）。（本年度报告中所列数据的统计期限自2012年1月1日起至2012年12月31日止。）受理公众依申请公开信息7件，无行政复议事件；接受咨询查阅0人次。</w:t>
      </w:r>
      <w:r>
        <w:rPr>
          <w:rFonts w:hint="eastAsia" w:ascii="仿宋_GB2312" w:hAnsi="sans-serif" w:eastAsia="仿宋_GB2312" w:cs="仿宋_GB2312"/>
          <w:i w:val="0"/>
          <w:iCs w:val="0"/>
          <w:caps w:val="0"/>
          <w:color w:val="000000"/>
          <w:spacing w:val="0"/>
          <w:sz w:val="30"/>
          <w:szCs w:val="30"/>
        </w:rPr>
        <w:br w:type="textWrapping"/>
      </w:r>
      <w:r>
        <w:rPr>
          <w:rFonts w:hint="eastAsia" w:ascii="仿宋_GB2312" w:hAnsi="sans-serif" w:eastAsia="仿宋_GB2312" w:cs="仿宋_GB2312"/>
          <w:i w:val="0"/>
          <w:iCs w:val="0"/>
          <w:caps w:val="0"/>
          <w:color w:val="000000"/>
          <w:spacing w:val="0"/>
          <w:sz w:val="30"/>
          <w:szCs w:val="30"/>
        </w:rPr>
        <w:t>二、政府信息主动公开情况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（一）公开情况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本单位2012年共主动公开政府信息46条，其中全文电子化率达100%。</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在主动公开的信息中，规划计划类信息6条（涉及2012校历、小升初、中招、高中招生计划等），占总体的比例为13%；业务动态类信息40条（《西教动态》37-76期，反映西城教育发展动态情况），占总体的比例为87%。</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2012年度本单位主动公开的政府信息中，有“</w:t>
      </w:r>
      <w:r>
        <w:rPr>
          <w:rFonts w:hint="eastAsia" w:ascii="仿宋_GB2312" w:hAnsi="sans-serif" w:eastAsia="仿宋_GB2312" w:cs="仿宋_GB2312"/>
          <w:i w:val="0"/>
          <w:iCs w:val="0"/>
          <w:caps w:val="0"/>
          <w:color w:val="auto"/>
          <w:spacing w:val="0"/>
          <w:sz w:val="30"/>
          <w:szCs w:val="30"/>
          <w:u w:val="none"/>
        </w:rPr>
        <w:t>北京市示范高中招生计划及名额分配公示单</w:t>
      </w:r>
      <w:r>
        <w:rPr>
          <w:rFonts w:hint="eastAsia" w:ascii="仿宋_GB2312" w:hAnsi="sans-serif" w:eastAsia="仿宋_GB2312" w:cs="仿宋_GB2312"/>
          <w:i w:val="0"/>
          <w:iCs w:val="0"/>
          <w:caps w:val="0"/>
          <w:color w:val="000000"/>
          <w:spacing w:val="0"/>
          <w:sz w:val="30"/>
          <w:szCs w:val="30"/>
        </w:rPr>
        <w:t>”、“</w:t>
      </w:r>
      <w:r>
        <w:rPr>
          <w:rFonts w:hint="eastAsia" w:ascii="仿宋_GB2312" w:hAnsi="sans-serif" w:eastAsia="仿宋_GB2312" w:cs="仿宋_GB2312"/>
          <w:i w:val="0"/>
          <w:iCs w:val="0"/>
          <w:caps w:val="0"/>
          <w:color w:val="auto"/>
          <w:spacing w:val="0"/>
          <w:sz w:val="30"/>
          <w:szCs w:val="30"/>
          <w:u w:val="none"/>
        </w:rPr>
        <w:t>西教发4号（招优方案）</w:t>
      </w:r>
      <w:r>
        <w:rPr>
          <w:rFonts w:hint="eastAsia" w:ascii="仿宋_GB2312" w:hAnsi="sans-serif" w:eastAsia="仿宋_GB2312" w:cs="仿宋_GB2312"/>
          <w:i w:val="0"/>
          <w:iCs w:val="0"/>
          <w:caps w:val="0"/>
          <w:color w:val="000000"/>
          <w:spacing w:val="0"/>
          <w:sz w:val="30"/>
          <w:szCs w:val="30"/>
        </w:rPr>
        <w:t>”、“</w:t>
      </w:r>
      <w:r>
        <w:rPr>
          <w:rFonts w:hint="eastAsia" w:ascii="仿宋_GB2312" w:hAnsi="sans-serif" w:eastAsia="仿宋_GB2312" w:cs="仿宋_GB2312"/>
          <w:i w:val="0"/>
          <w:iCs w:val="0"/>
          <w:caps w:val="0"/>
          <w:color w:val="auto"/>
          <w:spacing w:val="0"/>
          <w:sz w:val="30"/>
          <w:szCs w:val="30"/>
          <w:u w:val="none"/>
        </w:rPr>
        <w:t>西教发7号（中招文件）</w:t>
      </w:r>
      <w:r>
        <w:rPr>
          <w:rFonts w:hint="eastAsia" w:ascii="仿宋_GB2312" w:hAnsi="sans-serif" w:eastAsia="仿宋_GB2312" w:cs="仿宋_GB2312"/>
          <w:i w:val="0"/>
          <w:iCs w:val="0"/>
          <w:caps w:val="0"/>
          <w:color w:val="000000"/>
          <w:spacing w:val="0"/>
          <w:sz w:val="30"/>
          <w:szCs w:val="30"/>
        </w:rPr>
        <w:t>”、“</w:t>
      </w:r>
      <w:r>
        <w:rPr>
          <w:rFonts w:hint="eastAsia" w:ascii="仿宋_GB2312" w:hAnsi="sans-serif" w:eastAsia="仿宋_GB2312" w:cs="仿宋_GB2312"/>
          <w:i w:val="0"/>
          <w:iCs w:val="0"/>
          <w:caps w:val="0"/>
          <w:color w:val="auto"/>
          <w:spacing w:val="0"/>
          <w:sz w:val="30"/>
          <w:szCs w:val="30"/>
          <w:u w:val="none"/>
        </w:rPr>
        <w:t>西教发9号（小升初）</w:t>
      </w:r>
      <w:r>
        <w:rPr>
          <w:rFonts w:hint="eastAsia" w:ascii="仿宋_GB2312" w:hAnsi="sans-serif" w:eastAsia="仿宋_GB2312" w:cs="仿宋_GB2312"/>
          <w:i w:val="0"/>
          <w:iCs w:val="0"/>
          <w:caps w:val="0"/>
          <w:color w:val="000000"/>
          <w:spacing w:val="0"/>
          <w:sz w:val="30"/>
          <w:szCs w:val="30"/>
        </w:rPr>
        <w:t>”、“</w:t>
      </w:r>
      <w:r>
        <w:rPr>
          <w:rFonts w:hint="eastAsia" w:ascii="仿宋_GB2312" w:hAnsi="sans-serif" w:eastAsia="仿宋_GB2312" w:cs="仿宋_GB2312"/>
          <w:i w:val="0"/>
          <w:iCs w:val="0"/>
          <w:caps w:val="0"/>
          <w:color w:val="auto"/>
          <w:spacing w:val="0"/>
          <w:sz w:val="30"/>
          <w:szCs w:val="30"/>
          <w:u w:val="none"/>
        </w:rPr>
        <w:t>西教办发[2012]1号校历</w:t>
      </w:r>
      <w:r>
        <w:rPr>
          <w:rFonts w:hint="eastAsia" w:ascii="仿宋_GB2312" w:hAnsi="sans-serif" w:eastAsia="仿宋_GB2312" w:cs="仿宋_GB2312"/>
          <w:i w:val="0"/>
          <w:iCs w:val="0"/>
          <w:caps w:val="0"/>
          <w:color w:val="000000"/>
          <w:spacing w:val="0"/>
          <w:sz w:val="30"/>
          <w:szCs w:val="30"/>
        </w:rPr>
        <w:t>”等涉及公民、法人或者其他组织切身利益的；需要社会公众广泛知晓或者参与的重要信息，这些政府信息的及时公开公示的，有助于广大关注中小学招生情况的学生及其家长对此工作的了解与配合，有利于社会及公众对此类相关工作得以顺利开展的了解与支持，对促进社会和谐与教育平稳有序发展，起到积极而富有成效的影响。</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（二）公开形式</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在主动公开的信息中，为方便公众了解信息，本单位主要通过政府网站、政府信息公开栏、网上政务服务大厅、便民手册等最常用的形式和最受欢迎的形式等，结合招生工作的特点，在便民服务上做工作。</w:t>
      </w:r>
      <w:r>
        <w:rPr>
          <w:rFonts w:hint="eastAsia" w:ascii="宋体" w:hAnsi="宋体" w:eastAsia="宋体" w:cs="宋体"/>
          <w:i w:val="0"/>
          <w:iCs w:val="0"/>
          <w:caps w:val="0"/>
          <w:color w:val="000000"/>
          <w:spacing w:val="0"/>
          <w:sz w:val="28"/>
          <w:szCs w:val="28"/>
        </w:rPr>
        <w:t>　　</w:t>
      </w:r>
      <w:r>
        <w:rPr>
          <w:rFonts w:ascii="ˎ̥" w:hAnsi="ˎ̥" w:eastAsia="ˎ̥" w:cs="ˎ̥"/>
          <w:i w:val="0"/>
          <w:iCs w:val="0"/>
          <w:caps w:val="0"/>
          <w:color w:val="000000"/>
          <w:spacing w:val="0"/>
          <w:sz w:val="28"/>
          <w:szCs w:val="28"/>
        </w:rPr>
        <w:t>  </w:t>
      </w:r>
    </w:p>
    <w:p>
      <w:pPr>
        <w:pStyle w:val="2"/>
        <w:keepNext w:val="0"/>
        <w:keepLines w:val="0"/>
        <w:widowControl/>
        <w:suppressLineNumbers w:val="0"/>
        <w:spacing w:before="75" w:beforeAutospacing="0" w:after="75" w:afterAutospacing="0" w:line="368" w:lineRule="atLeast"/>
        <w:ind w:left="0" w:right="0" w:firstLine="560"/>
      </w:pPr>
      <w:r>
        <w:rPr>
          <w:rFonts w:hint="eastAsia" w:ascii="宋体" w:hAnsi="宋体" w:eastAsia="宋体" w:cs="宋体"/>
          <w:i w:val="0"/>
          <w:iCs w:val="0"/>
          <w:caps w:val="0"/>
          <w:color w:val="000000"/>
          <w:spacing w:val="0"/>
          <w:sz w:val="28"/>
          <w:szCs w:val="28"/>
        </w:rPr>
        <w:t>在</w:t>
      </w:r>
      <w:r>
        <w:rPr>
          <w:rFonts w:hint="eastAsia" w:ascii="仿宋_GB2312" w:hAnsi="sans-serif" w:eastAsia="仿宋_GB2312" w:cs="仿宋_GB2312"/>
          <w:i w:val="0"/>
          <w:iCs w:val="0"/>
          <w:caps w:val="0"/>
          <w:color w:val="000000"/>
          <w:spacing w:val="0"/>
          <w:sz w:val="30"/>
          <w:szCs w:val="30"/>
        </w:rPr>
        <w:t>教委办公室设置了咨询、查阅处，配备了电脑、打印机，制定了接待查询工作规范、接待查询语言规范等，按要求我们设立了依申请公开接待的工作场所，现在的接待场所是西城区教委办公室102室，设置了教委信息公开专用电话：66203442。作为招生工作主要负责机构西城教委考试中心招生办公室开设接待科室，办公室工作人员热情的开展了各项有关信息公开接待工作，在特定的时段内，平均每天都要为数十位家长、师生、社会人员提供各类信息公开咨询服务。现阶段的工作运行的很顺利，在服务对象中收到了很好的反馈评价。</w:t>
      </w:r>
      <w:r>
        <w:rPr>
          <w:rFonts w:hint="eastAsia" w:ascii="仿宋_GB2312" w:hAnsi="sans-serif" w:eastAsia="仿宋_GB2312" w:cs="仿宋_GB2312"/>
          <w:i w:val="0"/>
          <w:iCs w:val="0"/>
          <w:caps w:val="0"/>
          <w:color w:val="000000"/>
          <w:spacing w:val="0"/>
          <w:sz w:val="30"/>
          <w:szCs w:val="30"/>
        </w:rPr>
        <w:br w:type="textWrapping"/>
      </w:r>
      <w:r>
        <w:rPr>
          <w:rFonts w:hint="eastAsia" w:ascii="宋体" w:hAnsi="宋体" w:eastAsia="宋体" w:cs="宋体"/>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0"/>
          <w:szCs w:val="30"/>
        </w:rPr>
        <w:t>三、政府信息依申请公开情况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（一）申请情况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本单位2012年度共收到政府信息公开申请7件，同上年相比，增加7条。</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其中，均以信函形式申请7件，占总数的100%，同上年相比，增加7条。</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从申请的信息内容来看， 43%是规划计划类信息，14%是行政职责类信息，43%是业务动态类信息。</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（二）答复情况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在已经答复的7件申请中：</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“同意公开”的3件，占总数的43%，主要涉及已经主动公开的有关招生等信息。</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“同意部分公开”的1件，占总数14%，主要涉及学校招生信息。其中涉及学生个人信息部分则“不予公开”。</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“信息不存在”的3件，占总数的43％。其中：“非本单位掌握”的2件，占总数的29％。</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（三）其他需要说明的问题</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从申请的对象分析，以本地公民为主，占全部申请的86％，以组织名义提交的政府信息申请有1件，主要是环境保护类公司。</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四、人员和收支情况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（一）工作人员情况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本单位从事政府信息公开工作的全职人员共0人，同上年相比，没有增加；兼职人员共8人，同上年相比，没有增加或减少。</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（二）依申请公开政府信息收费情况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2012年本单位依申请提供政府信息邮递等成本费用共计24元。均按减免收费处理。</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五、咨询情况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2012年，本单位共接受公民、法人及其他组织政府信息公开方面的咨询772人次。其中，现场咨询138人次，占总数的17.9%；电话咨询634人次，占总数的82.1%。</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本单位2012年度政府信息公开专栏访问量为×次。</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六、行政复议和行政诉讼情况</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2012年，没有针对本单位政府信息公开的行政复议申请、行政诉讼案、申诉案件。</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七、主要问题和改进措施</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从工作实际情况看，区教委对政府信息公开工作的重要性认识和宣传还有待进一步提高；工作制度和工作机制，特别是主动公开信息更新机制，需要随着定编方案设置及其人员配备情况进一步完善；强化学习培训工作，进一步规范公务人员行政行为，提高教委机关工作人员对《条例》的认知，提升信息公开工作人员业务素质和服务水平；分析教育系统服务运作特点和规律，做好政府信息主动公开及其动态管理工作，着重查找主动公开信息工作中值得注意的问题、信息公开申请和答复处理程序、工作流程等实际工作中还存在的问题。</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实行政府信息公开工作是一项政治性、政策性和技术性很强的系统工程,完成施行《中华人民共和国政府信息公开条例》的工作时间紧、任务重、要求高。西城教委要继续在政府信息公开工作的推进、指导、协调和监督方面，加大力度，改进工作，完善机制，提高效率，确保相关工作顺利进行，使政府信息公开工作的顺利开展，更有利于法治政府建设，教育服务于民众，提高区域教育发展的品质。</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八、说明与附图附表</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（一）说明</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包括对统计指标的说明，以及其他一些需要特殊说明的情况，如统计期限，统计范围等。</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（二）附图与附表。</w:t>
      </w:r>
    </w:p>
    <w:p>
      <w:pPr>
        <w:pStyle w:val="2"/>
        <w:keepNext w:val="0"/>
        <w:keepLines w:val="0"/>
        <w:widowControl/>
        <w:suppressLineNumbers w:val="0"/>
        <w:spacing w:before="75" w:beforeAutospacing="0" w:after="75" w:afterAutospacing="0" w:line="368" w:lineRule="atLeast"/>
        <w:ind w:left="0" w:right="0" w:firstLine="600"/>
      </w:pPr>
      <w:r>
        <w:rPr>
          <w:rFonts w:hint="eastAsia" w:ascii="仿宋_GB2312" w:hAnsi="sans-serif" w:eastAsia="仿宋_GB2312" w:cs="仿宋_GB2312"/>
          <w:i w:val="0"/>
          <w:iCs w:val="0"/>
          <w:caps w:val="0"/>
          <w:color w:val="000000"/>
          <w:spacing w:val="0"/>
          <w:sz w:val="30"/>
          <w:szCs w:val="30"/>
        </w:rPr>
        <w:t>附图一：本单位近年政府信息主动公开数量变化情况</w:t>
      </w:r>
    </w:p>
    <w:p>
      <w:pPr>
        <w:keepNext w:val="0"/>
        <w:keepLines w:val="0"/>
        <w:widowControl/>
        <w:suppressLineNumbers w:val="0"/>
        <w:jc w:val="left"/>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jc w:val="left"/>
      </w:pP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附图二：本单位近年依申请公开政府信息数量变化情况</w:t>
      </w:r>
    </w:p>
    <w:p>
      <w:pPr>
        <w:keepNext w:val="0"/>
        <w:keepLines w:val="0"/>
        <w:widowControl/>
        <w:suppressLineNumbers w:val="0"/>
        <w:jc w:val="left"/>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jc w:val="left"/>
      </w:pPr>
      <w:r>
        <w:rPr>
          <w:rStyle w:val="5"/>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附表一：主动公开情况统计</w:t>
      </w:r>
      <w:r>
        <w:rPr>
          <w:rStyle w:val="5"/>
          <w:rFonts w:hint="default" w:ascii="sans-serif" w:hAnsi="sans-serif" w:eastAsia="sans-serif" w:cs="sans-serif"/>
          <w:i w:val="0"/>
          <w:iCs w:val="0"/>
          <w:caps w:val="0"/>
          <w:color w:val="000000"/>
          <w:spacing w:val="0"/>
          <w:kern w:val="0"/>
          <w:sz w:val="24"/>
          <w:szCs w:val="24"/>
          <w:lang w:val="en-US" w:eastAsia="zh-CN" w:bidi="ar"/>
        </w:rPr>
        <w:t> </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73"/>
        <w:gridCol w:w="1419"/>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7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    标</w:t>
            </w:r>
          </w:p>
        </w:tc>
        <w:tc>
          <w:tcPr>
            <w:tcW w:w="17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主动公开信息数</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其中：全文电子化的主动公开信息数</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pPr>
            <w:r>
              <w:rPr>
                <w:rFonts w:hint="eastAsia" w:ascii="宋体" w:hAnsi="宋体" w:eastAsia="宋体" w:cs="宋体"/>
                <w:color w:val="000000"/>
                <w:kern w:val="0"/>
                <w:sz w:val="24"/>
                <w:szCs w:val="24"/>
                <w:bdr w:val="none" w:color="auto" w:sz="0" w:space="0"/>
                <w:lang w:val="en-US" w:eastAsia="zh-CN" w:bidi="ar"/>
              </w:rPr>
              <w:t>新增的行政规范性文件数</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bl>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附表二：依申请公开情况统计</w:t>
      </w:r>
      <w:r>
        <w:rPr>
          <w:rStyle w:val="5"/>
          <w:rFonts w:hint="default" w:ascii="sans-serif" w:hAnsi="sans-serif" w:eastAsia="sans-serif" w:cs="sans-serif"/>
          <w:i w:val="0"/>
          <w:iCs w:val="0"/>
          <w:caps w:val="0"/>
          <w:color w:val="000000"/>
          <w:spacing w:val="0"/>
          <w:kern w:val="0"/>
          <w:sz w:val="24"/>
          <w:szCs w:val="24"/>
          <w:lang w:val="en-US" w:eastAsia="zh-CN" w:bidi="ar"/>
        </w:rPr>
        <w:t> </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57"/>
        <w:gridCol w:w="1359"/>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72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7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6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本年度申请总数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当面申请数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传真申请数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3.</w:t>
            </w:r>
            <w:r>
              <w:rPr>
                <w:rFonts w:hint="eastAsia" w:ascii="宋体" w:hAnsi="宋体" w:eastAsia="宋体" w:cs="宋体"/>
                <w:color w:val="000000"/>
                <w:kern w:val="0"/>
                <w:sz w:val="24"/>
                <w:szCs w:val="24"/>
                <w:bdr w:val="none" w:color="auto" w:sz="0" w:space="0"/>
                <w:lang w:val="en-US" w:eastAsia="zh-CN" w:bidi="ar"/>
              </w:rPr>
              <w:t>互联网申请数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4.</w:t>
            </w:r>
            <w:r>
              <w:rPr>
                <w:rFonts w:hint="eastAsia" w:ascii="宋体" w:hAnsi="宋体" w:eastAsia="宋体" w:cs="宋体"/>
                <w:color w:val="000000"/>
                <w:kern w:val="0"/>
                <w:sz w:val="24"/>
                <w:szCs w:val="24"/>
                <w:bdr w:val="none" w:color="auto" w:sz="0" w:space="0"/>
                <w:lang w:val="en-US" w:eastAsia="zh-CN" w:bidi="ar"/>
              </w:rPr>
              <w:t>信函申请数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对申请的答复总数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8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 1.</w:t>
            </w:r>
            <w:r>
              <w:rPr>
                <w:rFonts w:hint="eastAsia" w:ascii="宋体" w:hAnsi="宋体" w:eastAsia="宋体" w:cs="宋体"/>
                <w:color w:val="000000"/>
                <w:kern w:val="0"/>
                <w:sz w:val="24"/>
                <w:szCs w:val="24"/>
                <w:bdr w:val="none" w:color="auto" w:sz="0" w:space="0"/>
                <w:lang w:val="en-US" w:eastAsia="zh-CN" w:bidi="ar"/>
              </w:rPr>
              <w:t>同意公开答复数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同意部分公开答复数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pPr>
            <w:r>
              <w:rPr>
                <w:rFonts w:hint="eastAsia" w:ascii="仿宋_GB2312" w:hAnsi="宋体" w:eastAsia="仿宋_GB2312" w:cs="仿宋_GB2312"/>
                <w:color w:val="000000"/>
                <w:kern w:val="0"/>
                <w:sz w:val="24"/>
                <w:szCs w:val="24"/>
                <w:bdr w:val="none" w:color="auto" w:sz="0" w:space="0"/>
                <w:lang w:val="en-US" w:eastAsia="zh-CN" w:bidi="ar"/>
              </w:rPr>
              <w:t>3.</w:t>
            </w:r>
            <w:r>
              <w:rPr>
                <w:rFonts w:hint="eastAsia" w:ascii="宋体" w:hAnsi="宋体" w:eastAsia="宋体" w:cs="宋体"/>
                <w:color w:val="000000"/>
                <w:kern w:val="0"/>
                <w:sz w:val="24"/>
                <w:szCs w:val="24"/>
                <w:bdr w:val="none" w:color="auto" w:sz="0" w:space="0"/>
                <w:lang w:val="en-US" w:eastAsia="zh-CN" w:bidi="ar"/>
              </w:rPr>
              <w:t>不予公开答复总数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pPr>
            <w:r>
              <w:rPr>
                <w:rFonts w:hint="eastAsia" w:ascii="仿宋_GB2312" w:hAnsi="宋体" w:eastAsia="仿宋_GB2312" w:cs="仿宋_GB2312"/>
                <w:color w:val="000000"/>
                <w:kern w:val="0"/>
                <w:sz w:val="24"/>
                <w:szCs w:val="24"/>
                <w:bdr w:val="none" w:color="auto" w:sz="0" w:space="0"/>
                <w:lang w:val="en-US" w:eastAsia="zh-CN" w:bidi="ar"/>
              </w:rPr>
              <w:t>4.</w:t>
            </w:r>
            <w:r>
              <w:rPr>
                <w:rFonts w:hint="eastAsia" w:ascii="宋体" w:hAnsi="宋体" w:eastAsia="宋体" w:cs="宋体"/>
                <w:color w:val="000000"/>
                <w:kern w:val="0"/>
                <w:sz w:val="24"/>
                <w:szCs w:val="24"/>
                <w:bdr w:val="none" w:color="auto" w:sz="0" w:space="0"/>
                <w:lang w:val="en-US" w:eastAsia="zh-CN" w:bidi="ar"/>
              </w:rPr>
              <w:t>信息不存在数</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仿宋_GB2312" w:hAnsi="宋体" w:eastAsia="仿宋_GB2312" w:cs="仿宋_GB2312"/>
                <w:color w:val="000000"/>
                <w:kern w:val="0"/>
                <w:sz w:val="24"/>
                <w:szCs w:val="24"/>
                <w:bdr w:val="none" w:color="auto" w:sz="0" w:space="0"/>
                <w:lang w:val="en-US" w:eastAsia="zh-CN" w:bidi="ar"/>
              </w:rPr>
              <w:t>        5.</w:t>
            </w:r>
            <w:r>
              <w:rPr>
                <w:rFonts w:hint="eastAsia" w:ascii="宋体" w:hAnsi="宋体" w:eastAsia="宋体" w:cs="宋体"/>
                <w:color w:val="000000"/>
                <w:kern w:val="0"/>
                <w:sz w:val="24"/>
                <w:szCs w:val="24"/>
                <w:bdr w:val="none" w:color="auto" w:sz="0" w:space="0"/>
                <w:lang w:val="en-US" w:eastAsia="zh-CN" w:bidi="ar"/>
              </w:rPr>
              <w:t>非本单位掌握</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68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仿宋_GB2312" w:hAnsi="宋体" w:eastAsia="仿宋_GB2312" w:cs="仿宋_GB2312"/>
                <w:color w:val="000000"/>
                <w:kern w:val="0"/>
                <w:sz w:val="24"/>
                <w:szCs w:val="24"/>
                <w:bdr w:val="none" w:color="auto" w:sz="0" w:space="0"/>
                <w:lang w:val="en-US" w:eastAsia="zh-CN" w:bidi="ar"/>
              </w:rPr>
              <w:t>        6.</w:t>
            </w:r>
            <w:r>
              <w:rPr>
                <w:rFonts w:hint="eastAsia" w:ascii="宋体" w:hAnsi="宋体" w:eastAsia="宋体" w:cs="宋体"/>
                <w:color w:val="000000"/>
                <w:kern w:val="0"/>
                <w:sz w:val="24"/>
                <w:szCs w:val="24"/>
                <w:bdr w:val="none" w:color="auto" w:sz="0" w:space="0"/>
                <w:lang w:val="en-US" w:eastAsia="zh-CN" w:bidi="ar"/>
              </w:rPr>
              <w:t>申请内容不明确</w:t>
            </w:r>
          </w:p>
        </w:tc>
        <w:tc>
          <w:tcPr>
            <w:tcW w:w="17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6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pPr>
        <w:keepNext w:val="0"/>
        <w:keepLines w:val="0"/>
        <w:widowControl/>
        <w:suppressLineNumbers w:val="0"/>
        <w:jc w:val="left"/>
      </w:pPr>
      <w:r>
        <w:rPr>
          <w:rStyle w:val="5"/>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kern w:val="0"/>
          <w:sz w:val="32"/>
          <w:szCs w:val="32"/>
          <w:lang w:val="en-US" w:eastAsia="zh-CN" w:bidi="ar"/>
        </w:rPr>
        <w:t>附表三：咨询情况统计</w:t>
      </w:r>
    </w:p>
    <w:p>
      <w:pPr>
        <w:keepNext w:val="0"/>
        <w:keepLines w:val="0"/>
        <w:widowControl/>
        <w:suppressLineNumbers w:val="0"/>
        <w:jc w:val="left"/>
      </w:pPr>
      <w:r>
        <w:rPr>
          <w:rStyle w:val="5"/>
          <w:rFonts w:hint="default" w:ascii="sans-serif" w:hAnsi="sans-serif" w:eastAsia="sans-serif" w:cs="sans-serif"/>
          <w:i w:val="0"/>
          <w:iCs w:val="0"/>
          <w:caps w:val="0"/>
          <w:color w:val="000000"/>
          <w:spacing w:val="0"/>
          <w:kern w:val="0"/>
          <w:sz w:val="24"/>
          <w:szCs w:val="24"/>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84"/>
        <w:gridCol w:w="1020"/>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784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2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79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现场咨询数</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79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电话咨询数</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79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网上咨询数</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79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政府信息公开专栏页面访问量</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jc w:val="left"/>
            </w:pPr>
          </w:p>
        </w:tc>
      </w:tr>
    </w:tbl>
    <w:p>
      <w:pPr>
        <w:keepNext w:val="0"/>
        <w:keepLines w:val="0"/>
        <w:widowControl/>
        <w:suppressLineNumbers w:val="0"/>
        <w:jc w:val="left"/>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附表四：复议、诉讼、申诉情况统计表</w:t>
      </w:r>
      <w:r>
        <w:rPr>
          <w:rStyle w:val="5"/>
          <w:rFonts w:hint="default" w:ascii="sans-serif" w:hAnsi="sans-serif" w:eastAsia="sans-serif" w:cs="sans-serif"/>
          <w:i w:val="0"/>
          <w:iCs w:val="0"/>
          <w:caps w:val="0"/>
          <w:color w:val="000000"/>
          <w:spacing w:val="0"/>
          <w:kern w:val="0"/>
          <w:sz w:val="24"/>
          <w:szCs w:val="24"/>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14"/>
        <w:gridCol w:w="1110"/>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1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指标</w:t>
            </w:r>
          </w:p>
        </w:tc>
        <w:tc>
          <w:tcPr>
            <w:tcW w:w="12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0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81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行政复议数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件</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81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行政诉讼数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件</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819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行政申诉数</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件</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bl>
    <w:p>
      <w:pPr>
        <w:keepNext w:val="0"/>
        <w:keepLines w:val="0"/>
        <w:widowControl/>
        <w:suppressLineNumbers w:val="0"/>
        <w:jc w:val="left"/>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附表五：人员与支出情况统计</w:t>
      </w:r>
      <w:r>
        <w:rPr>
          <w:rStyle w:val="5"/>
          <w:rFonts w:hint="default" w:ascii="sans-serif" w:hAnsi="sans-serif" w:eastAsia="sans-serif" w:cs="sans-serif"/>
          <w:i w:val="0"/>
          <w:iCs w:val="0"/>
          <w:caps w:val="0"/>
          <w:color w:val="000000"/>
          <w:spacing w:val="0"/>
          <w:kern w:val="0"/>
          <w:sz w:val="24"/>
          <w:szCs w:val="24"/>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27"/>
        <w:gridCol w:w="1015"/>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77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1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9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依申请提供政府信息收取费用总额</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元</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依申请提供政府信息减免收费总额</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元</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kern w:val="0"/>
                <w:sz w:val="24"/>
                <w:szCs w:val="24"/>
                <w:bdr w:val="none" w:color="auto" w:sz="0" w:space="0"/>
                <w:lang w:val="en-US" w:eastAsia="zh-CN" w:bidi="ar"/>
              </w:rPr>
              <w:t>与行政诉讼有关的费用支出总额</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kern w:val="0"/>
                <w:sz w:val="24"/>
                <w:szCs w:val="24"/>
                <w:bdr w:val="none" w:color="auto" w:sz="0" w:space="0"/>
                <w:lang w:val="en-US" w:eastAsia="zh-CN" w:bidi="ar"/>
              </w:rPr>
              <w:t>元</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政府信息公开指定专职人员总数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3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全职人员数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21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26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兼职人员数</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8</w:t>
            </w:r>
          </w:p>
        </w:tc>
      </w:tr>
    </w:tbl>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jc w:val="right"/>
      </w:pPr>
      <w:r>
        <w:rPr>
          <w:rFonts w:hint="default" w:ascii="sans-serif" w:hAnsi="sans-serif" w:eastAsia="sans-serif" w:cs="sans-serif"/>
          <w:i w:val="0"/>
          <w:iCs w:val="0"/>
          <w:caps w:val="0"/>
          <w:color w:val="000000"/>
          <w:spacing w:val="0"/>
          <w:sz w:val="24"/>
          <w:szCs w:val="24"/>
        </w:rPr>
        <w:t>                                                                                                                                 北京市西城区教育委员会</w:t>
      </w:r>
    </w:p>
    <w:p>
      <w:pPr>
        <w:pStyle w:val="2"/>
        <w:keepNext w:val="0"/>
        <w:keepLines w:val="0"/>
        <w:widowControl/>
        <w:suppressLineNumbers w:val="0"/>
        <w:spacing w:before="75" w:beforeAutospacing="0" w:after="75" w:afterAutospacing="0"/>
        <w:ind w:left="0" w:right="0"/>
        <w:jc w:val="right"/>
      </w:pPr>
      <w:r>
        <w:rPr>
          <w:rFonts w:hint="default" w:ascii="sans-serif" w:hAnsi="sans-serif" w:eastAsia="sans-serif" w:cs="sans-serif"/>
          <w:i w:val="0"/>
          <w:iCs w:val="0"/>
          <w:caps w:val="0"/>
          <w:color w:val="000000"/>
          <w:spacing w:val="0"/>
          <w:sz w:val="24"/>
          <w:szCs w:val="24"/>
        </w:rPr>
        <w:t>                                                                                                                                        2013年3月29日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F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32ABB2C6A47C4E478515DCF266353C36</vt:lpwstr>
  </property>
</Properties>
</file>