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b/>
          <w:bCs/>
          <w:i w:val="0"/>
          <w:iCs w:val="0"/>
          <w:caps w:val="0"/>
          <w:color w:val="000000"/>
          <w:spacing w:val="0"/>
          <w:sz w:val="36"/>
          <w:szCs w:val="36"/>
        </w:rPr>
        <w:t>北京市西城区民政局2016年政府信息公开年度报告</w:t>
      </w:r>
      <w:bookmarkStart w:id="0" w:name="_GoBack"/>
      <w:bookmarkEnd w:id="0"/>
    </w:p>
    <w:p>
      <w:pPr>
        <w:pStyle w:val="2"/>
        <w:keepNext w:val="0"/>
        <w:keepLines w:val="0"/>
        <w:widowControl/>
        <w:suppressLineNumbers w:val="0"/>
        <w:spacing w:before="156" w:beforeAutospacing="0" w:after="156" w:afterAutospacing="0" w:line="560" w:lineRule="atLeast"/>
        <w:ind w:left="0" w:right="0"/>
        <w:jc w:val="center"/>
        <w:rPr>
          <w:rFonts w:hint="eastAsia" w:ascii="宋体" w:hAnsi="宋体" w:eastAsia="宋体" w:cs="宋体"/>
          <w:sz w:val="24"/>
          <w:szCs w:val="24"/>
        </w:rPr>
      </w:pPr>
      <w:r>
        <w:rPr>
          <w:rFonts w:ascii="楷体" w:hAnsi="楷体" w:eastAsia="楷体" w:cs="楷体"/>
          <w:i w:val="0"/>
          <w:iCs w:val="0"/>
          <w:caps w:val="0"/>
          <w:color w:val="000000"/>
          <w:spacing w:val="0"/>
          <w:sz w:val="36"/>
          <w:szCs w:val="36"/>
        </w:rPr>
        <w:t>2017</w:t>
      </w:r>
      <w:r>
        <w:rPr>
          <w:rFonts w:hint="eastAsia" w:ascii="楷体" w:hAnsi="楷体" w:eastAsia="楷体" w:cs="楷体"/>
          <w:i w:val="0"/>
          <w:iCs w:val="0"/>
          <w:caps w:val="0"/>
          <w:color w:val="000000"/>
          <w:spacing w:val="0"/>
          <w:sz w:val="36"/>
          <w:szCs w:val="36"/>
        </w:rPr>
        <w:t>年3月</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ascii="仿宋" w:hAnsi="仿宋" w:eastAsia="仿宋" w:cs="仿宋"/>
          <w:i w:val="0"/>
          <w:iCs w:val="0"/>
          <w:caps w:val="0"/>
          <w:color w:val="000000"/>
          <w:spacing w:val="0"/>
          <w:sz w:val="32"/>
          <w:szCs w:val="32"/>
        </w:rPr>
        <w:t>本报告是根据《中华人民共和国政府信息公开条例》（以下简称《条例》）要求，由西城区民政局编制的2016年度政府信息公开工作年度报告。</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本报告中所列数据的统计期限自2016年1月1日起，至2016年12月31日止。本报告的电子版可在区政府网站（http://www.bjxch.gov.cn）政府信息公开专栏上可下载。如对本报告有任何疑问请联系：西城区民政局（地址:北京市西城区安德路甲69号；邮编：100012；联系电话：010-83418341；电子邮箱：</w:t>
      </w:r>
      <w:r>
        <w:rPr>
          <w:rFonts w:hint="eastAsia" w:ascii="仿宋" w:hAnsi="仿宋" w:eastAsia="仿宋" w:cs="仿宋"/>
          <w:i w:val="0"/>
          <w:iCs w:val="0"/>
          <w:caps w:val="0"/>
          <w:spacing w:val="0"/>
          <w:sz w:val="32"/>
          <w:szCs w:val="32"/>
        </w:rPr>
        <w:fldChar w:fldCharType="begin"/>
      </w:r>
      <w:r>
        <w:rPr>
          <w:rFonts w:hint="eastAsia" w:ascii="仿宋" w:hAnsi="仿宋" w:eastAsia="仿宋" w:cs="仿宋"/>
          <w:i w:val="0"/>
          <w:iCs w:val="0"/>
          <w:caps w:val="0"/>
          <w:spacing w:val="0"/>
          <w:sz w:val="32"/>
          <w:szCs w:val="32"/>
        </w:rPr>
        <w:instrText xml:space="preserve"> HYPERLINK "mailto:mzj-xxgk@bjxch.gov.cn" </w:instrText>
      </w:r>
      <w:r>
        <w:rPr>
          <w:rFonts w:hint="eastAsia" w:ascii="仿宋" w:hAnsi="仿宋" w:eastAsia="仿宋" w:cs="仿宋"/>
          <w:i w:val="0"/>
          <w:iCs w:val="0"/>
          <w:caps w:val="0"/>
          <w:spacing w:val="0"/>
          <w:sz w:val="32"/>
          <w:szCs w:val="32"/>
        </w:rPr>
        <w:fldChar w:fldCharType="separate"/>
      </w:r>
      <w:r>
        <w:rPr>
          <w:rStyle w:val="6"/>
          <w:rFonts w:hint="default" w:ascii="Times New Roman" w:hAnsi="Times New Roman" w:eastAsia="仿宋" w:cs="Times New Roman"/>
          <w:i w:val="0"/>
          <w:iCs w:val="0"/>
          <w:caps w:val="0"/>
          <w:color w:val="auto"/>
          <w:spacing w:val="0"/>
          <w:sz w:val="32"/>
          <w:szCs w:val="32"/>
          <w:u w:val="none"/>
        </w:rPr>
        <w:t>mzj-xxgk@bjxch.gov.cn</w:t>
      </w:r>
      <w:r>
        <w:rPr>
          <w:rFonts w:hint="eastAsia" w:ascii="仿宋" w:hAnsi="仿宋" w:eastAsia="仿宋" w:cs="仿宋"/>
          <w:i w:val="0"/>
          <w:iCs w:val="0"/>
          <w:caps w:val="0"/>
          <w:spacing w:val="0"/>
          <w:sz w:val="32"/>
          <w:szCs w:val="32"/>
        </w:rPr>
        <w:fldChar w:fldCharType="end"/>
      </w:r>
      <w:r>
        <w:rPr>
          <w:rFonts w:hint="eastAsia" w:ascii="仿宋" w:hAnsi="仿宋" w:eastAsia="仿宋" w:cs="仿宋"/>
          <w:i w:val="0"/>
          <w:iCs w:val="0"/>
          <w:caps w:val="0"/>
          <w:color w:val="000000"/>
          <w:spacing w:val="0"/>
          <w:sz w:val="32"/>
          <w:szCs w:val="32"/>
        </w:rPr>
        <w:t>）。</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ascii="黑体" w:hAnsi="宋体" w:eastAsia="黑体" w:cs="黑体"/>
          <w:i w:val="0"/>
          <w:iCs w:val="0"/>
          <w:caps w:val="0"/>
          <w:color w:val="000000"/>
          <w:spacing w:val="0"/>
          <w:sz w:val="32"/>
          <w:szCs w:val="32"/>
        </w:rPr>
        <w:t>一、重点工作情况</w:t>
      </w:r>
    </w:p>
    <w:p>
      <w:pPr>
        <w:pStyle w:val="2"/>
        <w:keepNext w:val="0"/>
        <w:keepLines w:val="0"/>
        <w:widowControl/>
        <w:suppressLineNumbers w:val="0"/>
        <w:spacing w:before="0" w:beforeAutospacing="0" w:after="0" w:afterAutospacing="0"/>
        <w:ind w:left="1680" w:right="0" w:hanging="1080"/>
        <w:rPr>
          <w:rFonts w:hint="eastAsia" w:ascii="宋体" w:hAnsi="宋体" w:eastAsia="宋体" w:cs="宋体"/>
          <w:sz w:val="24"/>
          <w:szCs w:val="24"/>
        </w:rPr>
      </w:pPr>
      <w:r>
        <w:rPr>
          <w:rFonts w:hint="eastAsia" w:ascii="楷体" w:hAnsi="楷体" w:eastAsia="楷体" w:cs="楷体"/>
          <w:i w:val="0"/>
          <w:iCs w:val="0"/>
          <w:caps w:val="0"/>
          <w:color w:val="000000"/>
          <w:spacing w:val="0"/>
          <w:sz w:val="32"/>
          <w:szCs w:val="32"/>
        </w:rPr>
        <w:t>（一）</w:t>
      </w:r>
      <w:r>
        <w:rPr>
          <w:rFonts w:hint="default" w:ascii="Times New Roman" w:hAnsi="Times New Roman" w:eastAsia="楷体" w:cs="Times New Roman"/>
          <w:i w:val="0"/>
          <w:iCs w:val="0"/>
          <w:caps w:val="0"/>
          <w:color w:val="000000"/>
          <w:spacing w:val="0"/>
          <w:sz w:val="14"/>
          <w:szCs w:val="14"/>
        </w:rPr>
        <w:t>     </w:t>
      </w:r>
      <w:r>
        <w:rPr>
          <w:rFonts w:hint="eastAsia" w:ascii="楷体" w:hAnsi="楷体" w:eastAsia="楷体" w:cs="楷体"/>
          <w:i w:val="0"/>
          <w:iCs w:val="0"/>
          <w:caps w:val="0"/>
          <w:color w:val="000000"/>
          <w:spacing w:val="0"/>
          <w:sz w:val="32"/>
          <w:szCs w:val="32"/>
        </w:rPr>
        <w:t>加强完善信息主动公开</w:t>
      </w:r>
    </w:p>
    <w:p>
      <w:pPr>
        <w:pStyle w:val="2"/>
        <w:keepNext w:val="0"/>
        <w:keepLines w:val="0"/>
        <w:widowControl/>
        <w:suppressLineNumbers w:val="0"/>
        <w:spacing w:before="0" w:beforeAutospacing="0" w:after="0" w:afterAutospacing="0"/>
        <w:ind w:left="0" w:right="0" w:firstLine="639"/>
        <w:rPr>
          <w:rFonts w:hint="eastAsia" w:ascii="宋体" w:hAnsi="宋体" w:eastAsia="宋体" w:cs="宋体"/>
          <w:sz w:val="24"/>
          <w:szCs w:val="24"/>
        </w:rPr>
      </w:pPr>
      <w:r>
        <w:rPr>
          <w:rStyle w:val="5"/>
          <w:rFonts w:hint="eastAsia" w:ascii="仿宋" w:hAnsi="仿宋" w:eastAsia="仿宋" w:cs="仿宋"/>
          <w:i w:val="0"/>
          <w:iCs w:val="0"/>
          <w:caps w:val="0"/>
          <w:color w:val="000000"/>
          <w:spacing w:val="0"/>
          <w:sz w:val="32"/>
          <w:szCs w:val="32"/>
        </w:rPr>
        <w:t>一是加强各类政策文件信息公开。</w:t>
      </w:r>
      <w:r>
        <w:rPr>
          <w:rFonts w:hint="eastAsia" w:ascii="仿宋" w:hAnsi="仿宋" w:eastAsia="仿宋" w:cs="仿宋"/>
          <w:i w:val="0"/>
          <w:iCs w:val="0"/>
          <w:caps w:val="0"/>
          <w:color w:val="000000"/>
          <w:spacing w:val="0"/>
          <w:sz w:val="32"/>
          <w:szCs w:val="32"/>
        </w:rPr>
        <w:t>各科室在拟文时即确定该文件是主动公开还是依申请公开或是不予公开，局领导在签发文件时必须填写“文件源头审批单”对科室提出的信息公开属性进行审批，从源头进行把控。尤其是规范性文件，严格按照政务公开实施方案的要求，及时做好文件的“预公开”，并注重部门规范性文件解读。我局老龄办起草的《西城区中重度失能老年人居家养老补贴实施办法》成为我局第一个进行预公开的规范性文件，通过网站向社会广泛征求意见和建议，并于9月20日顺利完成了“预公开”工作，目前对此文件的政策解读工作也已完成。</w:t>
      </w:r>
      <w:r>
        <w:rPr>
          <w:rStyle w:val="5"/>
          <w:rFonts w:hint="eastAsia" w:ascii="仿宋" w:hAnsi="仿宋" w:eastAsia="仿宋" w:cs="仿宋"/>
          <w:i w:val="0"/>
          <w:iCs w:val="0"/>
          <w:caps w:val="0"/>
          <w:color w:val="000000"/>
          <w:spacing w:val="0"/>
          <w:sz w:val="32"/>
          <w:szCs w:val="32"/>
        </w:rPr>
        <w:t>二是加强行政权力运行信息公开。</w:t>
      </w:r>
      <w:r>
        <w:rPr>
          <w:rFonts w:hint="eastAsia" w:ascii="仿宋" w:hAnsi="仿宋" w:eastAsia="仿宋" w:cs="仿宋"/>
          <w:i w:val="0"/>
          <w:iCs w:val="0"/>
          <w:caps w:val="0"/>
          <w:color w:val="000000"/>
          <w:spacing w:val="0"/>
          <w:sz w:val="32"/>
          <w:szCs w:val="32"/>
        </w:rPr>
        <w:t>结合职权梳理，完善了职权目录编制、行政权力运行流程图。为了让业务科室明确自身职权，更加有效地参与政务公开工作，局办公室在全局业务科室的大力配合下，对所有部门行政职权进行了两次认真梳理，共梳理出公开的行政职权204项，根据区编办部署开展的建立权力运行责任清单梳理以及行政服务中心开展的进一步梳理公共服务事项的要求，优化权力运行流程，依法公开权力清单和服务事项，最终做到“清单以外无权力”。</w:t>
      </w:r>
      <w:r>
        <w:rPr>
          <w:rStyle w:val="5"/>
          <w:rFonts w:hint="eastAsia" w:ascii="仿宋" w:hAnsi="仿宋" w:eastAsia="仿宋" w:cs="仿宋"/>
          <w:i w:val="0"/>
          <w:iCs w:val="0"/>
          <w:caps w:val="0"/>
          <w:color w:val="000000"/>
          <w:spacing w:val="0"/>
          <w:sz w:val="32"/>
          <w:szCs w:val="32"/>
        </w:rPr>
        <w:t>三是加强财政资金信息公开。</w:t>
      </w:r>
      <w:r>
        <w:rPr>
          <w:rFonts w:hint="eastAsia" w:ascii="仿宋" w:hAnsi="仿宋" w:eastAsia="仿宋" w:cs="仿宋"/>
          <w:i w:val="0"/>
          <w:iCs w:val="0"/>
          <w:caps w:val="0"/>
          <w:color w:val="000000"/>
          <w:spacing w:val="0"/>
          <w:sz w:val="32"/>
          <w:szCs w:val="32"/>
        </w:rPr>
        <w:t>这也是贯彻落实市区政府关于信息公开的工作要求，全面实行财政预决算和“三公”经费信息公开，积极促进法治民政建设。2016年，我局均按照要求发布了财政预决算公开表“三公”经费预决算情况。</w:t>
      </w:r>
    </w:p>
    <w:p>
      <w:pPr>
        <w:pStyle w:val="2"/>
        <w:keepNext w:val="0"/>
        <w:keepLines w:val="0"/>
        <w:widowControl/>
        <w:suppressLineNumbers w:val="0"/>
        <w:spacing w:before="0" w:beforeAutospacing="0" w:after="0" w:afterAutospacing="0"/>
        <w:ind w:left="1680" w:right="0" w:hanging="1080"/>
        <w:rPr>
          <w:rFonts w:hint="eastAsia" w:ascii="宋体" w:hAnsi="宋体" w:eastAsia="宋体" w:cs="宋体"/>
          <w:sz w:val="24"/>
          <w:szCs w:val="24"/>
        </w:rPr>
      </w:pPr>
      <w:r>
        <w:rPr>
          <w:rFonts w:hint="eastAsia" w:ascii="楷体" w:hAnsi="楷体" w:eastAsia="楷体" w:cs="楷体"/>
          <w:i w:val="0"/>
          <w:iCs w:val="0"/>
          <w:caps w:val="0"/>
          <w:color w:val="000000"/>
          <w:spacing w:val="0"/>
          <w:sz w:val="32"/>
          <w:szCs w:val="32"/>
        </w:rPr>
        <w:t>（二）</w:t>
      </w:r>
      <w:r>
        <w:rPr>
          <w:rFonts w:hint="default" w:ascii="Times New Roman" w:hAnsi="Times New Roman" w:eastAsia="楷体" w:cs="Times New Roman"/>
          <w:i w:val="0"/>
          <w:iCs w:val="0"/>
          <w:caps w:val="0"/>
          <w:color w:val="000000"/>
          <w:spacing w:val="0"/>
          <w:sz w:val="14"/>
          <w:szCs w:val="14"/>
        </w:rPr>
        <w:t>     </w:t>
      </w:r>
      <w:r>
        <w:rPr>
          <w:rFonts w:hint="eastAsia" w:ascii="楷体" w:hAnsi="楷体" w:eastAsia="楷体" w:cs="楷体"/>
          <w:i w:val="0"/>
          <w:iCs w:val="0"/>
          <w:caps w:val="0"/>
          <w:color w:val="000000"/>
          <w:spacing w:val="0"/>
          <w:sz w:val="32"/>
          <w:szCs w:val="32"/>
        </w:rPr>
        <w:t>规范依申请信息公开</w:t>
      </w:r>
    </w:p>
    <w:p>
      <w:pPr>
        <w:pStyle w:val="2"/>
        <w:keepNext w:val="0"/>
        <w:keepLines w:val="0"/>
        <w:widowControl/>
        <w:suppressLineNumbers w:val="0"/>
        <w:spacing w:before="0" w:beforeAutospacing="0" w:after="0" w:afterAutospacing="0"/>
        <w:ind w:left="0" w:right="0" w:firstLine="639"/>
        <w:rPr>
          <w:rFonts w:hint="eastAsia" w:ascii="宋体" w:hAnsi="宋体" w:eastAsia="宋体" w:cs="宋体"/>
          <w:sz w:val="24"/>
          <w:szCs w:val="24"/>
        </w:rPr>
      </w:pPr>
      <w:r>
        <w:rPr>
          <w:rStyle w:val="5"/>
          <w:rFonts w:hint="eastAsia" w:ascii="仿宋" w:hAnsi="仿宋" w:eastAsia="仿宋" w:cs="仿宋"/>
          <w:i w:val="0"/>
          <w:iCs w:val="0"/>
          <w:caps w:val="0"/>
          <w:color w:val="000000"/>
          <w:spacing w:val="0"/>
          <w:sz w:val="32"/>
          <w:szCs w:val="32"/>
        </w:rPr>
        <w:t>一是规范依申请公开办理。</w:t>
      </w:r>
      <w:r>
        <w:rPr>
          <w:rFonts w:hint="eastAsia" w:ascii="仿宋" w:hAnsi="仿宋" w:eastAsia="仿宋" w:cs="仿宋"/>
          <w:i w:val="0"/>
          <w:iCs w:val="0"/>
          <w:caps w:val="0"/>
          <w:color w:val="000000"/>
          <w:spacing w:val="0"/>
          <w:sz w:val="32"/>
          <w:szCs w:val="32"/>
        </w:rPr>
        <w:t>健全政府信息依申请公开受理、答复机制，认真受理、办理依申请公开。及时公布申请受理情况和办理结果。为了保障公民、法人或者其他组织依法获取政府信息，充分发挥政府信息对人民群众生产、生活和经济社会活动的服务作用，依据《中华人民共和国政府信息公开条例》，结合民政工作实际，制定了依申请公开指南和目录，并根据变动情况及时更新。</w:t>
      </w:r>
      <w:r>
        <w:rPr>
          <w:rStyle w:val="5"/>
          <w:rFonts w:hint="eastAsia" w:ascii="仿宋" w:hAnsi="仿宋" w:eastAsia="仿宋" w:cs="仿宋"/>
          <w:i w:val="0"/>
          <w:iCs w:val="0"/>
          <w:caps w:val="0"/>
          <w:color w:val="000000"/>
          <w:spacing w:val="0"/>
          <w:sz w:val="32"/>
          <w:szCs w:val="32"/>
        </w:rPr>
        <w:t>二是注重总结依申请公开工作。</w:t>
      </w:r>
      <w:r>
        <w:rPr>
          <w:rFonts w:hint="eastAsia" w:ascii="仿宋" w:hAnsi="仿宋" w:eastAsia="仿宋" w:cs="仿宋"/>
          <w:i w:val="0"/>
          <w:iCs w:val="0"/>
          <w:caps w:val="0"/>
          <w:color w:val="000000"/>
          <w:spacing w:val="0"/>
          <w:sz w:val="32"/>
          <w:szCs w:val="32"/>
        </w:rPr>
        <w:t>按照便民利民原则，在局办公室设立依申请公开受理点，专人负责，进一步明确依申请公开等具体工作的流程和分工，确保信息公开申请能及时办理反馈。</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黑体" w:hAnsi="宋体" w:eastAsia="黑体" w:cs="黑体"/>
          <w:i w:val="0"/>
          <w:iCs w:val="0"/>
          <w:caps w:val="0"/>
          <w:color w:val="000000"/>
          <w:spacing w:val="0"/>
          <w:sz w:val="32"/>
          <w:szCs w:val="32"/>
        </w:rPr>
        <w:t>二、重点领域信息公开情况</w:t>
      </w:r>
    </w:p>
    <w:p>
      <w:pPr>
        <w:pStyle w:val="2"/>
        <w:keepNext w:val="0"/>
        <w:keepLines w:val="0"/>
        <w:widowControl/>
        <w:suppressLineNumbers w:val="0"/>
        <w:spacing w:before="0" w:beforeAutospacing="0" w:after="0" w:afterAutospacing="0"/>
        <w:ind w:left="0" w:right="0" w:firstLine="605"/>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编制《民政局政务公开内容要点》，特别对“必公开”内容中涉及的推进社会救助类信息和重点领域信息进行了强调，形成了《民政局重点领域月度必公开项目表》。根据要求，我局自2015年起，在本局信息公开网站重点领域信息栏目中每月主动对外公开《西城区最低生活保障信息公开表》。表内含当前低保人员的实时信息，包括区县街道名称、申请持证人姓名、保障人口、家庭月保障金额等，第一时间向社会公布社会救助方面重点领域业务信息，做到信息内容公开透明，接受外界监督，提升政府的公信力。除此之外，在《民政局重点领域月度必公开项目表》中，我局及时公开其他社会救助类信息，（如临时救助、医疗救助、特困供养人员救助信息）养老服务类信息，（如养老机构信息）及推进社会组织类信息，第一时间在中国社会报专栏刊登社会组织信息，对其相关信息进行公示，加强社会组织成立、变更注销等环节的公开力度。这些重点工作的进展情况都是我局信息发布的主体，每月均有内容发布，有关这些工作的保障措施也都做到及时公开发布。</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黑体" w:hAnsi="宋体" w:eastAsia="黑体" w:cs="黑体"/>
          <w:i w:val="0"/>
          <w:iCs w:val="0"/>
          <w:caps w:val="0"/>
          <w:color w:val="000000"/>
          <w:spacing w:val="0"/>
          <w:sz w:val="32"/>
          <w:szCs w:val="32"/>
        </w:rPr>
        <w:t>三、信息公开数据</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根据《条例》要求，2008年5月1日起本单位开始开展政府信息公开工作。为此，专门配备了1名兼职工作人员，设立了1个专门的信息申请受理点。截至2016年底，本单位政府信息公开工作运行正常，政府信息公开咨询、申请以及答复工作均得到了顺利开展。</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截至2016年12月31日，本单位共主动公开业务信息231条；受理政府信息公开申请事项3件，主要涉及慈善机构职能咨询等相关内容。所有依申请公开信息一律按照《条例》决定，保时、保质、保量完成，受到当事人认可。</w:t>
      </w:r>
    </w:p>
    <w:p>
      <w:pPr>
        <w:pStyle w:val="2"/>
        <w:keepNext w:val="0"/>
        <w:keepLines w:val="0"/>
        <w:widowControl/>
        <w:suppressLineNumbers w:val="0"/>
        <w:spacing w:before="0" w:beforeAutospacing="0" w:after="0" w:afterAutospacing="0" w:line="560" w:lineRule="atLeast"/>
        <w:ind w:left="0" w:right="0" w:firstLine="643"/>
        <w:jc w:val="both"/>
        <w:rPr>
          <w:rFonts w:hint="eastAsia" w:ascii="宋体" w:hAnsi="宋体" w:eastAsia="宋体" w:cs="宋体"/>
          <w:sz w:val="24"/>
          <w:szCs w:val="24"/>
        </w:rPr>
      </w:pPr>
      <w:r>
        <w:rPr>
          <w:rStyle w:val="5"/>
          <w:rFonts w:hint="eastAsia" w:ascii="楷体" w:hAnsi="楷体" w:eastAsia="楷体" w:cs="楷体"/>
          <w:i w:val="0"/>
          <w:iCs w:val="0"/>
          <w:caps w:val="0"/>
          <w:color w:val="000000"/>
          <w:spacing w:val="0"/>
          <w:sz w:val="32"/>
          <w:szCs w:val="32"/>
        </w:rPr>
        <w:t>（一）主动公开情况</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本单位2016年共主动公开政府信息231条，其中全文电子化率达100%。</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在主动公开的信息中，机构职能类信息8条，主要涉及本单位领导变动情况，占总体的比例为3.4%；法规文件类信息3条，主要涉及公开的规范性文件和其他相关文件，占总体的比例为1.3%；规划计划类信息16条，主要涉及本局财务预算、决算及三公经费使用支出情况，占总体的比例为6.9%；行政职责类信息2条，主要涉及本局行政处罚裁量基准表及行政职权目录，占总体的比例为0.8%；业务动态类信息202条，其中含重点领域信息28条，占总体的比例为87.6%，信息内容涉及养老服务、养老设施建设、社会福利、社区建设、社会组织建设、慈善救助、军休干部管理等全局各个方面业务工作信息，本局始终坚持把与百姓息息相关的民生事项第一间公布于众，便于群众查询，了解所需内容。</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在主动公开的信息工作中，为方便公众了解信息，本局在主动公开政府信息的形式上做了如下工作：一是主动公开的政府信息，全部在网站公开。二是部分重要的主动公开信息同时通过报纸、杂志、电视等公共媒体予以发布。三是编制政府信息公开目录和公开指南，同时通过我局门户网站进行公开，供公众查询。</w:t>
      </w:r>
    </w:p>
    <w:p>
      <w:pPr>
        <w:pStyle w:val="2"/>
        <w:keepNext w:val="0"/>
        <w:keepLines w:val="0"/>
        <w:widowControl/>
        <w:suppressLineNumbers w:val="0"/>
        <w:spacing w:before="0" w:beforeAutospacing="0" w:after="0" w:afterAutospacing="0" w:line="560" w:lineRule="atLeast"/>
        <w:ind w:left="0" w:right="0" w:firstLine="643"/>
        <w:jc w:val="both"/>
        <w:rPr>
          <w:rFonts w:hint="eastAsia" w:ascii="宋体" w:hAnsi="宋体" w:eastAsia="宋体" w:cs="宋体"/>
          <w:sz w:val="24"/>
          <w:szCs w:val="24"/>
        </w:rPr>
      </w:pPr>
      <w:r>
        <w:rPr>
          <w:rStyle w:val="5"/>
          <w:rFonts w:hint="eastAsia" w:ascii="楷体" w:hAnsi="楷体" w:eastAsia="楷体" w:cs="楷体"/>
          <w:i w:val="0"/>
          <w:iCs w:val="0"/>
          <w:caps w:val="0"/>
          <w:color w:val="000000"/>
          <w:spacing w:val="0"/>
          <w:sz w:val="32"/>
          <w:szCs w:val="32"/>
        </w:rPr>
        <w:t>（二）依申请公开情况</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（一）申请情况</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本单位2016年度共收到政府信息公开申请3件，全部是以电子邮件形式申请，主要涉及慈善机构职能咨询等信息。</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（二）答复情况</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根据《北京市政府信息公开条例》3件已全部按时答复，申请内容均属于咨询事项，不属于政府信息公开申请范围，但我局均已对申请人指明咨询路径，建议当事人向本局相关业务科室咨询了解相关事项。</w:t>
      </w:r>
    </w:p>
    <w:p>
      <w:pPr>
        <w:pStyle w:val="2"/>
        <w:keepNext w:val="0"/>
        <w:keepLines w:val="0"/>
        <w:widowControl/>
        <w:suppressLineNumbers w:val="0"/>
        <w:spacing w:before="0" w:beforeAutospacing="0" w:after="0" w:afterAutospacing="0" w:line="560" w:lineRule="atLeast"/>
        <w:ind w:left="0" w:right="0" w:firstLine="643"/>
        <w:jc w:val="both"/>
        <w:rPr>
          <w:rFonts w:hint="eastAsia" w:ascii="宋体" w:hAnsi="宋体" w:eastAsia="宋体" w:cs="宋体"/>
          <w:sz w:val="24"/>
          <w:szCs w:val="24"/>
        </w:rPr>
      </w:pPr>
      <w:r>
        <w:rPr>
          <w:rStyle w:val="5"/>
          <w:rFonts w:hint="eastAsia" w:ascii="楷体" w:hAnsi="楷体" w:eastAsia="楷体" w:cs="楷体"/>
          <w:i w:val="0"/>
          <w:iCs w:val="0"/>
          <w:caps w:val="0"/>
          <w:color w:val="000000"/>
          <w:spacing w:val="0"/>
          <w:sz w:val="32"/>
          <w:szCs w:val="32"/>
        </w:rPr>
        <w:t>（三）咨询情况</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2016年，本单位共接受公民、法人及其他组织政府信息公开方面的咨询30人次。其中，电话咨询27人次，占总数的90%；网上咨询3人次，占总数的10%。</w:t>
      </w:r>
    </w:p>
    <w:p>
      <w:pPr>
        <w:pStyle w:val="2"/>
        <w:keepNext w:val="0"/>
        <w:keepLines w:val="0"/>
        <w:widowControl/>
        <w:suppressLineNumbers w:val="0"/>
        <w:spacing w:before="0" w:beforeAutospacing="0" w:after="0" w:afterAutospacing="0" w:line="560" w:lineRule="atLeast"/>
        <w:ind w:left="0" w:right="0" w:firstLine="643"/>
        <w:jc w:val="both"/>
        <w:rPr>
          <w:rFonts w:hint="eastAsia" w:ascii="宋体" w:hAnsi="宋体" w:eastAsia="宋体" w:cs="宋体"/>
          <w:sz w:val="24"/>
          <w:szCs w:val="24"/>
        </w:rPr>
      </w:pPr>
      <w:r>
        <w:rPr>
          <w:rStyle w:val="5"/>
          <w:rFonts w:hint="eastAsia" w:ascii="楷体" w:hAnsi="楷体" w:eastAsia="楷体" w:cs="楷体"/>
          <w:i w:val="0"/>
          <w:iCs w:val="0"/>
          <w:caps w:val="0"/>
          <w:color w:val="000000"/>
          <w:spacing w:val="0"/>
          <w:sz w:val="32"/>
          <w:szCs w:val="32"/>
        </w:rPr>
        <w:t>（四）行政复议、诉讼及举报情况</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2016年，本单位没有发生针对政府信息公开形成的行政复议申请和行政诉讼。</w:t>
      </w:r>
    </w:p>
    <w:p>
      <w:pPr>
        <w:pStyle w:val="2"/>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黑体" w:hAnsi="宋体" w:eastAsia="黑体" w:cs="黑体"/>
          <w:i w:val="0"/>
          <w:iCs w:val="0"/>
          <w:caps w:val="0"/>
          <w:color w:val="000000"/>
          <w:spacing w:val="0"/>
          <w:sz w:val="32"/>
          <w:szCs w:val="32"/>
        </w:rPr>
        <w:t>四、存在的不足及改进措施</w:t>
      </w:r>
    </w:p>
    <w:p>
      <w:pPr>
        <w:pStyle w:val="2"/>
        <w:keepNext w:val="0"/>
        <w:keepLines w:val="0"/>
        <w:widowControl/>
        <w:suppressLineNumbers w:val="0"/>
        <w:shd w:val="clear" w:fill="FFFFFF"/>
        <w:spacing w:before="0" w:beforeAutospacing="0" w:after="0" w:afterAutospacing="0" w:line="360"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shd w:val="clear" w:fill="FFFFFF"/>
        </w:rPr>
        <w:t>1、政府信息公开的体制机制需进一步完善，信息公开的时效性有待进一步提高，在公开的形式还不够丰富。</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2、公开内容有时把握不到位。《条例》具体到各部门，根据实际情况会出现许多问题，比如涉及民政重点领域信息的临时救助、医疗救助和特困人员信息的敏感性较强，有可能会出现信息公开不当。如何根据信息不同性质准确界定政务公开类别仍有大量工作要做。</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针对问题2017年我局要在以下几点不断增强工作力度：一是要加大信息主动公开力度，增加主动公开信息的数量，接受社会监督。二是改进依申请公开的信息服务，拓宽依申请公开受理渠道，为申请人提供便捷服务。三是扩大信息公开主体范围。全面推进涉及民生的公共服务信息公开。</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ascii="华文宋体" w:hAnsi="华文宋体" w:eastAsia="华文宋体" w:cs="华文宋体"/>
          <w:i w:val="0"/>
          <w:iCs w:val="0"/>
          <w:caps w:val="0"/>
          <w:color w:val="000000"/>
          <w:spacing w:val="0"/>
          <w:sz w:val="30"/>
          <w:szCs w:val="30"/>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华文宋体" w:hAnsi="华文宋体" w:eastAsia="华文宋体" w:cs="华文宋体"/>
          <w:i w:val="0"/>
          <w:iCs w:val="0"/>
          <w:caps w:val="0"/>
          <w:color w:val="000000"/>
          <w:spacing w:val="0"/>
          <w:sz w:val="30"/>
          <w:szCs w:val="30"/>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华文宋体" w:hAnsi="华文宋体" w:eastAsia="华文宋体" w:cs="华文宋体"/>
          <w:i w:val="0"/>
          <w:iCs w:val="0"/>
          <w:caps w:val="0"/>
          <w:color w:val="000000"/>
          <w:spacing w:val="0"/>
          <w:sz w:val="30"/>
          <w:szCs w:val="30"/>
        </w:rPr>
        <w:t>附表：</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sans-serif" w:cs="Calibri"/>
          <w:i w:val="0"/>
          <w:iCs w:val="0"/>
          <w:caps w:val="0"/>
          <w:color w:val="000000"/>
          <w:spacing w:val="0"/>
          <w:sz w:val="21"/>
          <w:szCs w:val="21"/>
        </w:rPr>
        <w:t> </w:t>
      </w:r>
    </w:p>
    <w:p>
      <w:pPr>
        <w:pStyle w:val="2"/>
        <w:keepNext w:val="0"/>
        <w:keepLines w:val="0"/>
        <w:widowControl/>
        <w:suppressLineNumbers w:val="0"/>
        <w:spacing w:before="0" w:beforeAutospacing="0" w:after="0" w:afterAutospacing="0" w:line="560" w:lineRule="atLeast"/>
        <w:ind w:left="0" w:right="0" w:firstLine="1101"/>
        <w:jc w:val="left"/>
        <w:rPr>
          <w:rFonts w:hint="default" w:ascii="Calibri" w:hAnsi="Calibri" w:cs="Calibri"/>
          <w:sz w:val="21"/>
          <w:szCs w:val="21"/>
        </w:rPr>
      </w:pPr>
      <w:r>
        <w:rPr>
          <w:rStyle w:val="5"/>
          <w:rFonts w:ascii="华文中宋" w:hAnsi="华文中宋" w:eastAsia="华文中宋" w:cs="华文中宋"/>
          <w:i w:val="0"/>
          <w:iCs w:val="0"/>
          <w:caps w:val="0"/>
          <w:color w:val="000000"/>
          <w:spacing w:val="0"/>
          <w:sz w:val="44"/>
          <w:szCs w:val="44"/>
        </w:rPr>
        <w:t>民政局政府信息公开情况统计表</w:t>
      </w:r>
    </w:p>
    <w:p>
      <w:pPr>
        <w:pStyle w:val="2"/>
        <w:keepNext w:val="0"/>
        <w:keepLines w:val="0"/>
        <w:widowControl/>
        <w:suppressLineNumbers w:val="0"/>
        <w:spacing w:before="0" w:beforeAutospacing="0" w:after="0" w:afterAutospacing="0" w:line="560" w:lineRule="atLeast"/>
        <w:ind w:left="0" w:right="0" w:firstLine="3000"/>
        <w:jc w:val="left"/>
        <w:rPr>
          <w:rFonts w:hint="default" w:ascii="Calibri" w:hAnsi="Calibri" w:cs="Calibri"/>
          <w:sz w:val="21"/>
          <w:szCs w:val="21"/>
        </w:rPr>
      </w:pPr>
      <w:r>
        <w:rPr>
          <w:rFonts w:hint="eastAsia" w:ascii="华文中宋" w:hAnsi="华文中宋" w:eastAsia="华文中宋" w:cs="华文中宋"/>
          <w:i w:val="0"/>
          <w:iCs w:val="0"/>
          <w:caps w:val="0"/>
          <w:color w:val="000000"/>
          <w:spacing w:val="0"/>
          <w:sz w:val="30"/>
          <w:szCs w:val="30"/>
        </w:rPr>
        <w:t>（2016年度）</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32"/>
        <w:gridCol w:w="1022"/>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5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380"/>
              <w:jc w:val="left"/>
              <w:rPr>
                <w:rFonts w:hint="default" w:ascii="Calibri" w:hAnsi="Calibri" w:cs="Calibri"/>
                <w:sz w:val="21"/>
                <w:szCs w:val="21"/>
              </w:rPr>
            </w:pPr>
            <w:r>
              <w:rPr>
                <w:rFonts w:hint="eastAsia" w:ascii="华文中宋" w:hAnsi="华文中宋" w:eastAsia="华文中宋" w:cs="华文中宋"/>
                <w:sz w:val="28"/>
                <w:szCs w:val="28"/>
                <w:bdr w:val="none" w:color="auto" w:sz="0" w:space="0"/>
              </w:rPr>
              <w:t>统 计 指 标</w:t>
            </w:r>
          </w:p>
        </w:tc>
        <w:tc>
          <w:tcPr>
            <w:tcW w:w="1125"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eastAsia" w:ascii="华文中宋" w:hAnsi="华文中宋" w:eastAsia="华文中宋" w:cs="华文中宋"/>
                <w:sz w:val="28"/>
                <w:szCs w:val="28"/>
                <w:bdr w:val="none" w:color="auto" w:sz="0" w:space="0"/>
              </w:rPr>
              <w:t>单位</w:t>
            </w:r>
          </w:p>
        </w:tc>
        <w:tc>
          <w:tcPr>
            <w:tcW w:w="1200"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eastAsia" w:ascii="华文中宋" w:hAnsi="华文中宋" w:eastAsia="华文中宋" w:cs="华文中宋"/>
                <w:sz w:val="28"/>
                <w:szCs w:val="28"/>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865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eastAsia" w:ascii="仿宋" w:hAnsi="仿宋" w:eastAsia="仿宋" w:cs="仿宋"/>
                <w:sz w:val="30"/>
                <w:szCs w:val="30"/>
                <w:bdr w:val="none" w:color="auto" w:sz="0" w:space="0"/>
              </w:rPr>
              <w:t>一、主动公开情况</w:t>
            </w:r>
          </w:p>
        </w:tc>
        <w:tc>
          <w:tcPr>
            <w:tcW w:w="11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jc w:val="left"/>
            </w:pPr>
          </w:p>
        </w:tc>
        <w:tc>
          <w:tcPr>
            <w:tcW w:w="11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865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eastAsia" w:ascii="仿宋" w:hAnsi="仿宋" w:eastAsia="仿宋" w:cs="仿宋"/>
                <w:sz w:val="30"/>
                <w:szCs w:val="30"/>
                <w:bdr w:val="none" w:color="auto" w:sz="0" w:space="0"/>
              </w:rPr>
              <w:t>（一）主动公开政府信息数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eastAsia" w:ascii="仿宋" w:hAnsi="仿宋" w:eastAsia="仿宋" w:cs="仿宋"/>
                <w:sz w:val="30"/>
                <w:szCs w:val="30"/>
                <w:bdr w:val="none" w:color="auto" w:sz="0" w:space="0"/>
              </w:rPr>
              <w:t>（不同渠道和方式公开相同信息计1条）</w:t>
            </w:r>
          </w:p>
        </w:tc>
        <w:tc>
          <w:tcPr>
            <w:tcW w:w="112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
              <w:jc w:val="left"/>
              <w:rPr>
                <w:rFonts w:hint="default" w:ascii="Calibri" w:hAnsi="Calibri" w:cs="Calibri"/>
                <w:sz w:val="21"/>
                <w:szCs w:val="21"/>
              </w:rPr>
            </w:pPr>
            <w:r>
              <w:rPr>
                <w:rFonts w:hint="eastAsia" w:ascii="仿宋" w:hAnsi="仿宋" w:eastAsia="仿宋" w:cs="仿宋"/>
                <w:sz w:val="32"/>
                <w:szCs w:val="32"/>
                <w:bdr w:val="none" w:color="auto" w:sz="0" w:space="0"/>
              </w:rPr>
              <w:t>231</w:t>
            </w:r>
          </w:p>
        </w:tc>
        <w:tc>
          <w:tcPr>
            <w:tcW w:w="11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
              <w:jc w:val="left"/>
              <w:rPr>
                <w:rFonts w:hint="default" w:ascii="Calibri" w:hAnsi="Calibri" w:cs="Calibri"/>
                <w:sz w:val="21"/>
                <w:szCs w:val="21"/>
              </w:rPr>
            </w:pPr>
            <w:r>
              <w:rPr>
                <w:rFonts w:hint="eastAsia" w:ascii="仿宋" w:hAnsi="仿宋" w:eastAsia="仿宋" w:cs="仿宋"/>
                <w:sz w:val="32"/>
                <w:szCs w:val="32"/>
                <w:bdr w:val="none" w:color="auto" w:sz="0" w:space="0"/>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865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hint="default" w:ascii="Calibri" w:hAnsi="Calibri" w:cs="Calibri"/>
                <w:sz w:val="21"/>
                <w:szCs w:val="21"/>
              </w:rPr>
            </w:pPr>
            <w:r>
              <w:rPr>
                <w:rFonts w:hint="eastAsia" w:ascii="仿宋" w:hAnsi="仿宋" w:eastAsia="仿宋" w:cs="仿宋"/>
                <w:sz w:val="30"/>
                <w:szCs w:val="30"/>
                <w:bdr w:val="none" w:color="auto" w:sz="0" w:space="0"/>
              </w:rPr>
              <w:t>二、政府信息依申请公开情况</w:t>
            </w:r>
          </w:p>
        </w:tc>
        <w:tc>
          <w:tcPr>
            <w:tcW w:w="11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jc w:val="left"/>
            </w:pPr>
          </w:p>
        </w:tc>
        <w:tc>
          <w:tcPr>
            <w:tcW w:w="11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865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eastAsia" w:ascii="仿宋" w:hAnsi="仿宋" w:eastAsia="仿宋" w:cs="仿宋"/>
                <w:sz w:val="30"/>
                <w:szCs w:val="30"/>
                <w:bdr w:val="none" w:color="auto" w:sz="0" w:space="0"/>
              </w:rPr>
              <w:t>（一）政府信息依申请公开政府信息数</w:t>
            </w:r>
          </w:p>
        </w:tc>
        <w:tc>
          <w:tcPr>
            <w:tcW w:w="11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jc w:val="left"/>
            </w:pPr>
          </w:p>
        </w:tc>
        <w:tc>
          <w:tcPr>
            <w:tcW w:w="11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865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eastAsia" w:ascii="仿宋" w:hAnsi="仿宋" w:eastAsia="仿宋" w:cs="仿宋"/>
                <w:sz w:val="32"/>
                <w:szCs w:val="32"/>
                <w:bdr w:val="none" w:color="auto" w:sz="0" w:space="0"/>
              </w:rPr>
              <w:t>电子邮件形式申请</w:t>
            </w:r>
          </w:p>
        </w:tc>
        <w:tc>
          <w:tcPr>
            <w:tcW w:w="112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仿宋" w:hAnsi="仿宋" w:eastAsia="仿宋" w:cs="仿宋"/>
                <w:sz w:val="32"/>
                <w:szCs w:val="32"/>
                <w:bdr w:val="none" w:color="auto" w:sz="0" w:space="0"/>
              </w:rPr>
              <w:t>3</w:t>
            </w:r>
          </w:p>
        </w:tc>
        <w:tc>
          <w:tcPr>
            <w:tcW w:w="1110"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仿宋" w:hAnsi="仿宋" w:eastAsia="仿宋" w:cs="仿宋"/>
                <w:sz w:val="32"/>
                <w:szCs w:val="32"/>
                <w:bdr w:val="none" w:color="auto" w:sz="0" w:space="0"/>
              </w:rPr>
              <w:t>3</w:t>
            </w:r>
          </w:p>
        </w:tc>
      </w:tr>
    </w:tbl>
    <w:p>
      <w:pPr>
        <w:pStyle w:val="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eastAsia" w:ascii="华文中宋" w:hAnsi="华文中宋" w:eastAsia="华文中宋" w:cs="华文中宋"/>
          <w:i w:val="0"/>
          <w:iCs w:val="0"/>
          <w:caps w:val="0"/>
          <w:color w:val="000000"/>
          <w:spacing w:val="0"/>
          <w:sz w:val="30"/>
          <w:szCs w:val="3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4A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E53D1B0E499F481992B84515B6691F99</vt:lpwstr>
  </property>
</Properties>
</file>