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b/>
          <w:bCs/>
          <w:i w:val="0"/>
          <w:iCs w:val="0"/>
          <w:caps w:val="0"/>
          <w:color w:val="000000"/>
          <w:spacing w:val="0"/>
          <w:sz w:val="36"/>
          <w:szCs w:val="36"/>
        </w:rPr>
      </w:pPr>
      <w:r>
        <w:rPr>
          <w:rFonts w:hint="default" w:ascii="sans-serif" w:hAnsi="sans-serif" w:eastAsia="sans-serif" w:cs="sans-serif"/>
          <w:b/>
          <w:bCs/>
          <w:i w:val="0"/>
          <w:iCs w:val="0"/>
          <w:caps w:val="0"/>
          <w:color w:val="000000"/>
          <w:spacing w:val="0"/>
          <w:sz w:val="36"/>
          <w:szCs w:val="36"/>
        </w:rPr>
        <w:t>社会办2011年政府信息公开工作年度报告</w:t>
      </w:r>
    </w:p>
    <w:p>
      <w:pPr>
        <w:keepNext w:val="0"/>
        <w:keepLines w:val="0"/>
        <w:widowControl/>
        <w:suppressLineNumbers w:val="0"/>
        <w:ind w:left="0" w:firstLine="0"/>
        <w:rPr>
          <w:rFonts w:hint="default" w:ascii="sans-serif" w:hAnsi="sans-serif" w:eastAsia="sans-serif" w:cs="sans-serif"/>
          <w:i w:val="0"/>
          <w:iCs w:val="0"/>
          <w:caps w:val="0"/>
          <w:color w:val="000000"/>
          <w:spacing w:val="0"/>
          <w:sz w:val="24"/>
          <w:szCs w:val="24"/>
        </w:rPr>
      </w:pPr>
      <w:r>
        <w:rPr>
          <w:rFonts w:ascii="sans-serif" w:hAnsi="sans-serif" w:eastAsia="sans-serif" w:cs="sans-serif"/>
          <w:b/>
          <w:bCs/>
          <w:i w:val="0"/>
          <w:iCs w:val="0"/>
          <w:caps w:val="0"/>
          <w:color w:val="000000"/>
          <w:spacing w:val="0"/>
          <w:sz w:val="36"/>
          <w:szCs w:val="3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default" w:ascii="Arial" w:hAnsi="Arial" w:eastAsia="sans-serif" w:cs="Arial"/>
          <w:i w:val="0"/>
          <w:iCs w:val="0"/>
          <w:caps w:val="0"/>
          <w:color w:val="000000"/>
          <w:spacing w:val="0"/>
          <w:sz w:val="20"/>
          <w:szCs w:val="20"/>
        </w:rPr>
        <w:t>2012</w:t>
      </w:r>
      <w:r>
        <w:rPr>
          <w:rFonts w:hint="eastAsia" w:ascii="宋体" w:hAnsi="宋体" w:eastAsia="宋体" w:cs="宋体"/>
          <w:i w:val="0"/>
          <w:iCs w:val="0"/>
          <w:caps w:val="0"/>
          <w:color w:val="000000"/>
          <w:spacing w:val="0"/>
          <w:sz w:val="20"/>
          <w:szCs w:val="20"/>
        </w:rPr>
        <w:t>年</w:t>
      </w:r>
      <w:r>
        <w:rPr>
          <w:rFonts w:hint="default" w:ascii="Arial" w:hAnsi="Arial" w:eastAsia="sans-serif" w:cs="Arial"/>
          <w:i w:val="0"/>
          <w:iCs w:val="0"/>
          <w:caps w:val="0"/>
          <w:color w:val="000000"/>
          <w:spacing w:val="0"/>
          <w:sz w:val="20"/>
          <w:szCs w:val="20"/>
        </w:rPr>
        <w:t>3</w:t>
      </w:r>
      <w:r>
        <w:rPr>
          <w:rFonts w:hint="eastAsia" w:ascii="宋体" w:hAnsi="宋体" w:eastAsia="宋体" w:cs="宋体"/>
          <w:i w:val="0"/>
          <w:iCs w:val="0"/>
          <w:caps w:val="0"/>
          <w:color w:val="000000"/>
          <w:spacing w:val="0"/>
          <w:sz w:val="20"/>
          <w:szCs w:val="20"/>
        </w:rPr>
        <w:t>月</w:t>
      </w:r>
      <w:r>
        <w:rPr>
          <w:rFonts w:hint="default" w:ascii="Arial" w:hAnsi="Arial" w:eastAsia="sans-serif" w:cs="Arial"/>
          <w:i w:val="0"/>
          <w:iCs w:val="0"/>
          <w:caps w:val="0"/>
          <w:color w:val="000000"/>
          <w:spacing w:val="0"/>
          <w:sz w:val="20"/>
          <w:szCs w:val="20"/>
        </w:rPr>
        <w:t>30</w:t>
      </w:r>
      <w:r>
        <w:rPr>
          <w:rFonts w:hint="eastAsia" w:ascii="宋体" w:hAnsi="宋体" w:eastAsia="宋体" w:cs="宋体"/>
          <w:i w:val="0"/>
          <w:iCs w:val="0"/>
          <w:caps w:val="0"/>
          <w:color w:val="000000"/>
          <w:spacing w:val="0"/>
          <w:sz w:val="20"/>
          <w:szCs w:val="20"/>
        </w:rPr>
        <w:t>日</w:t>
      </w:r>
    </w:p>
    <w:p>
      <w:pPr>
        <w:pStyle w:val="2"/>
        <w:keepNext w:val="0"/>
        <w:keepLines w:val="0"/>
        <w:widowControl/>
        <w:suppressLineNumbers w:val="0"/>
        <w:spacing w:before="0" w:beforeAutospacing="0" w:after="0" w:afterAutospacing="0" w:line="600" w:lineRule="atLeast"/>
        <w:ind w:left="0" w:right="0"/>
        <w:jc w:val="center"/>
        <w:rPr>
          <w:rFonts w:hint="default" w:ascii="Calibri" w:hAnsi="Calibri" w:cs="Calibri"/>
          <w:sz w:val="21"/>
          <w:szCs w:val="21"/>
        </w:rPr>
      </w:pPr>
      <w:r>
        <w:rPr>
          <w:rFonts w:ascii="仿宋_GB2312" w:hAnsi="Calibri" w:eastAsia="仿宋_GB2312" w:cs="仿宋_GB2312"/>
          <w:i w:val="0"/>
          <w:iCs w:val="0"/>
          <w:caps w:val="0"/>
          <w:color w:val="000000"/>
          <w:spacing w:val="0"/>
          <w:sz w:val="30"/>
          <w:szCs w:val="30"/>
        </w:rPr>
        <w:t>引言</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本报告是根据《中华人民共和国信息公开条例》（以下简称《条例》）要求，由西城区社会建设工作办公室（以下简称社会办）编制的2011年度政府信息公开年度报告。</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本报告中所列数据的统计期限自2011年1月1日至2011年12月31日止。在西城区政府网站（http://www.bjxch.gov.cn）的信息公开专栏中下载本报告的电子版。如对本报告有任何疑问，请与西城区社会建设工作办公室联系（地址：北京市西城区西直门内大街275号楼6层，联系电话：010—82141125，电子邮箱：</w:t>
      </w:r>
      <w:r>
        <w:rPr>
          <w:rFonts w:hint="eastAsia" w:ascii="仿宋_GB2312" w:hAnsi="Calibri" w:eastAsia="仿宋_GB2312" w:cs="仿宋_GB2312"/>
          <w:i w:val="0"/>
          <w:iCs w:val="0"/>
          <w:caps w:val="0"/>
          <w:spacing w:val="0"/>
          <w:sz w:val="30"/>
          <w:szCs w:val="30"/>
        </w:rPr>
        <w:fldChar w:fldCharType="begin"/>
      </w:r>
      <w:r>
        <w:rPr>
          <w:rFonts w:hint="eastAsia" w:ascii="仿宋_GB2312" w:hAnsi="Calibri" w:eastAsia="仿宋_GB2312" w:cs="仿宋_GB2312"/>
          <w:i w:val="0"/>
          <w:iCs w:val="0"/>
          <w:caps w:val="0"/>
          <w:spacing w:val="0"/>
          <w:sz w:val="30"/>
          <w:szCs w:val="30"/>
        </w:rPr>
        <w:instrText xml:space="preserve"> HYPERLINK "mailto:xcsgw@163.com" </w:instrText>
      </w:r>
      <w:r>
        <w:rPr>
          <w:rFonts w:hint="eastAsia" w:ascii="仿宋_GB2312" w:hAnsi="Calibri" w:eastAsia="仿宋_GB2312" w:cs="仿宋_GB2312"/>
          <w:i w:val="0"/>
          <w:iCs w:val="0"/>
          <w:caps w:val="0"/>
          <w:spacing w:val="0"/>
          <w:sz w:val="30"/>
          <w:szCs w:val="30"/>
        </w:rPr>
        <w:fldChar w:fldCharType="separate"/>
      </w:r>
      <w:r>
        <w:rPr>
          <w:rStyle w:val="5"/>
          <w:rFonts w:hint="default" w:ascii="Times New Roman" w:hAnsi="Times New Roman" w:eastAsia="仿宋_GB2312" w:cs="Times New Roman"/>
          <w:i w:val="0"/>
          <w:iCs w:val="0"/>
          <w:caps w:val="0"/>
          <w:color w:val="auto"/>
          <w:spacing w:val="0"/>
          <w:sz w:val="21"/>
          <w:szCs w:val="21"/>
          <w:u w:val="none"/>
        </w:rPr>
        <w:t>xcsgw@163.com</w:t>
      </w:r>
      <w:r>
        <w:rPr>
          <w:rStyle w:val="5"/>
          <w:rFonts w:hint="eastAsia" w:ascii="仿宋_GB2312" w:hAnsi="Calibri" w:eastAsia="仿宋_GB2312" w:cs="仿宋_GB2312"/>
          <w:i w:val="0"/>
          <w:iCs w:val="0"/>
          <w:caps w:val="0"/>
          <w:color w:val="000000"/>
          <w:spacing w:val="0"/>
          <w:sz w:val="30"/>
          <w:szCs w:val="30"/>
          <w:u w:val="none"/>
        </w:rPr>
        <w:t>）。</w:t>
      </w:r>
      <w:r>
        <w:rPr>
          <w:rFonts w:hint="eastAsia" w:ascii="仿宋_GB2312" w:hAnsi="Calibri" w:eastAsia="仿宋_GB2312" w:cs="仿宋_GB2312"/>
          <w:i w:val="0"/>
          <w:iCs w:val="0"/>
          <w:caps w:val="0"/>
          <w:spacing w:val="0"/>
          <w:sz w:val="30"/>
          <w:szCs w:val="30"/>
        </w:rPr>
        <w:fldChar w:fldCharType="end"/>
      </w:r>
    </w:p>
    <w:p>
      <w:pPr>
        <w:pStyle w:val="2"/>
        <w:keepNext w:val="0"/>
        <w:keepLines w:val="0"/>
        <w:widowControl/>
        <w:suppressLineNumbers w:val="0"/>
        <w:spacing w:before="0" w:beforeAutospacing="0" w:after="0" w:afterAutospacing="0" w:line="600" w:lineRule="atLeast"/>
        <w:ind w:left="0" w:right="0" w:firstLine="45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一、概述</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根据《条例》及北京市西城区政府信息公开办公室关于政府信息公开工作的相关要求，由社会办主任任组长的政府信息公开工作领导小组，办公室是政府信息公开的主管部门，并作为政府信息依申请公开受理点，指定了办公室专职人员负责信息公开具体工作，制定了政府信息公开工作制度和工作机制，具体承担社会办政府信息公开工作的推进、指导、协调和监督工作。截至2011年底，社会办政府信息公开工作实现了由筹备期向运行期的顺利过渡，呈现了公开工作开局良好、运行平稳、公众关注、成效显现的良好态势。</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2011年，社会办主动公开政府信息共37条（不包括链接信息），未收到公众申请公开政府信息。</w:t>
      </w:r>
    </w:p>
    <w:p>
      <w:pPr>
        <w:pStyle w:val="2"/>
        <w:keepNext w:val="0"/>
        <w:keepLines w:val="0"/>
        <w:widowControl/>
        <w:suppressLineNumbers w:val="0"/>
        <w:spacing w:before="0" w:beforeAutospacing="0" w:after="0" w:afterAutospacing="0" w:line="600" w:lineRule="atLeast"/>
        <w:ind w:left="0" w:right="0" w:firstLine="60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二、主动公开政府信息情况</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按照《条例》第9至12条规定的主动公开政府信息范围和《北京市政府信息公开目录编制规范（试行）》，社会办各科室开展了信息清理和目录编制工作，并按照《条例》第15条规定，通过政府网站、新闻发布会等便于公众知晓的方式主动公开，为公民、法人或者其他组织获取政府信息提供便利。</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（一）公开数量</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2011年，社会办主动公开政府信息共37条，其中全文电子化率达100%。业务动态类信息36条，规范性文件1条。</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（二）公开渠道</w:t>
      </w:r>
    </w:p>
    <w:p>
      <w:pPr>
        <w:pStyle w:val="2"/>
        <w:keepNext w:val="0"/>
        <w:keepLines w:val="0"/>
        <w:widowControl/>
        <w:suppressLineNumbers w:val="0"/>
        <w:spacing w:before="0" w:beforeAutospacing="0" w:after="0" w:afterAutospacing="0"/>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在主动公开的政府信息中，为方便公众了解政府信息，社会办通过西城社会建设网、北京市信息公开系统等途径对2011年西城区社会建设1500专项资金拟支持项目的项目名称、主要内容、支持资金、承接单位；西城区面向社会公开招录社区工作者等信息进行公开。</w:t>
      </w:r>
    </w:p>
    <w:p>
      <w:pPr>
        <w:pStyle w:val="2"/>
        <w:keepNext w:val="0"/>
        <w:keepLines w:val="0"/>
        <w:widowControl/>
        <w:suppressLineNumbers w:val="0"/>
        <w:spacing w:before="0" w:beforeAutospacing="0" w:after="0" w:afterAutospacing="0" w:line="600" w:lineRule="atLeast"/>
        <w:ind w:left="0" w:right="0" w:firstLine="45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三、依申请公开政府信息情况</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按照《条例》第13条规定和《北京市政府信息依申请公开工作办法（试行）》的要求，社会办自开展政府信息公开工作之日起正式受理公民、法人或者其他组织根据自身生产、生活、科研等特殊需要提出的政府信息公开申请，并公布了单位政府信息公开受理机构的联系方式。2011年，社会办未收到申请政府信息公开案件。</w:t>
      </w:r>
    </w:p>
    <w:p>
      <w:pPr>
        <w:pStyle w:val="2"/>
        <w:keepNext w:val="0"/>
        <w:keepLines w:val="0"/>
        <w:widowControl/>
        <w:suppressLineNumbers w:val="0"/>
        <w:spacing w:before="0" w:beforeAutospacing="0" w:after="0" w:afterAutospacing="0" w:line="600" w:lineRule="atLeast"/>
        <w:ind w:left="0" w:right="0" w:firstLine="600"/>
        <w:jc w:val="center"/>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四、存在的不足及改进措施</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主管领导和科室对信息公开的重要性意识不到位,虽然办公室制定了信息公开管理制度,执行的不够好,经后将加强管理和学习,提高认识,做到应公开必须及时公开。</w:t>
      </w:r>
    </w:p>
    <w:p>
      <w:pPr>
        <w:pStyle w:val="2"/>
        <w:keepNext w:val="0"/>
        <w:keepLines w:val="0"/>
        <w:widowControl/>
        <w:suppressLineNumbers w:val="0"/>
        <w:spacing w:before="0" w:beforeAutospacing="0" w:after="0" w:afterAutospacing="0" w:line="600" w:lineRule="atLeast"/>
        <w:ind w:left="0" w:right="0" w:firstLine="600"/>
        <w:jc w:val="left"/>
        <w:rPr>
          <w:rFonts w:hint="default" w:ascii="Calibri" w:hAnsi="Calibri" w:cs="Calibri"/>
          <w:sz w:val="21"/>
          <w:szCs w:val="21"/>
        </w:rPr>
      </w:pPr>
      <w:r>
        <w:rPr>
          <w:rFonts w:ascii="serif" w:hAnsi="serif" w:eastAsia="serif" w:cs="serif"/>
          <w:i w:val="0"/>
          <w:iCs w:val="0"/>
          <w:caps w:val="0"/>
          <w:color w:val="000000"/>
          <w:spacing w:val="0"/>
          <w:sz w:val="20"/>
          <w:szCs w:val="20"/>
        </w:rPr>
        <w:t> </w:t>
      </w:r>
    </w:p>
    <w:p>
      <w:pPr>
        <w:pStyle w:val="2"/>
        <w:keepNext w:val="0"/>
        <w:keepLines w:val="0"/>
        <w:widowControl/>
        <w:suppressLineNumbers w:val="0"/>
        <w:spacing w:before="0" w:beforeAutospacing="0" w:after="0" w:afterAutospacing="0" w:line="600" w:lineRule="atLeast"/>
        <w:ind w:left="0" w:right="0" w:firstLine="3600"/>
        <w:jc w:val="right"/>
        <w:rPr>
          <w:rFonts w:hint="default" w:ascii="Calibri" w:hAnsi="Calibri" w:cs="Calibri"/>
          <w:sz w:val="21"/>
          <w:szCs w:val="21"/>
        </w:rPr>
      </w:pPr>
      <w:r>
        <w:rPr>
          <w:rFonts w:hint="eastAsia" w:ascii="仿宋_GB2312" w:hAnsi="Calibri" w:eastAsia="仿宋_GB2312" w:cs="仿宋_GB2312"/>
          <w:i w:val="0"/>
          <w:iCs w:val="0"/>
          <w:caps w:val="0"/>
          <w:color w:val="000000"/>
          <w:spacing w:val="0"/>
          <w:sz w:val="30"/>
          <w:szCs w:val="30"/>
        </w:rPr>
        <w:t>北京市西城区社会建设工作办公室</w:t>
      </w:r>
    </w:p>
    <w:p>
      <w:pPr>
        <w:pStyle w:val="2"/>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default" w:ascii="Calibri" w:hAnsi="Calibri" w:eastAsia="sans-serif" w:cs="Calibri"/>
          <w:i w:val="0"/>
          <w:iCs w:val="0"/>
          <w:caps w:val="0"/>
          <w:color w:val="000000"/>
          <w:spacing w:val="0"/>
          <w:sz w:val="21"/>
          <w:szCs w:val="21"/>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360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2021-03-04T08:12:43Z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D18BEE01930644F4AD67CBD97D9DD594</vt:lpwstr>
  </property>
</Properties>
</file>