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北京市西城区房屋管理局2008年政府信息公开工作年度报告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（2009年3月30日）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本报告是根据《中华人民共和国政府信息公开条例》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（以下简称《条例》）要求，由西城区房屋管理局编制的二〇〇八年度政府信息公开年度报告。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区政府网站（http://www.bjxch.gov.cn）政府信息公开专栏上可下载本报告的电子版。如对本报告有任何疑问，请联系：西城区房屋管理局办公室，电话66175570。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条例》要求，2008年5月1日起本单位开始开展政府信息公开工作。为此，专门配备了1名兼职工作人员，设立了1个专门的信息申请受理点。截至2008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本单位2008年共主动公开政府信息6条。其中电子化率100%。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在主动公开的信息中，业务动态类信息6条，占总体的比例为100%。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在主动公开的信息中，为方便公众了解信息，本单位在主动公开政府信息的形式上采用政府网站、服务指南等媒介。在便民服务上开展了有关检索目录的编制、宣传及便民手册等工作。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本单位2008年度共收到政府信息公开申请18件。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其中，当面申请18件，占总数的100%。从申请的信息内容来看，60%左右是房屋拆迁信息，40%左右是查询档案信息。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在已经答复的18件申请中：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“同意公开”的8件，占总数的44.4%，主要涉及拆迁等信息。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“不予公开”的7件，占总数38.9%，主要涉及经租房、文革房档案查询等信息。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“信息不存在”的2件，占总数的11.1％。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“非本单位掌握”的1件，占总数的5.6％。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（一）工作人员情况</w:t>
      </w: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本单位从事政府信息公开工作兼职人员共1人。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（二）依申请公开政府信息收费情况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2008年本单位依申请提供政府信息共收取检索、复印、邮递等成本费用共计0元。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2008年本单位对政府信息公开申请人减免收取检索、复印、邮递等成本费用共计0元。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2008年本单位与诉讼有关的费用支出共计0元。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2008年，本单位共接受公民、法人及其他组织政府信息公开方面的咨询11人次。其中，现场咨询4人次，占总数的36.4%；电话咨询7人次，占总数的63.6%。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723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2008年，针对本单位政府信息公开的行政复议申请2件，其主要事由是涉及文革产房屋档案及拆迁未予公开。行政诉讼1件。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 w:firstLine="64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七、说明与附图附表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包括对统计指标的说明，以及其他一些需要特殊说明的情况，如统计期限，统计范围等。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（二）附图与附表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附表一：主动公开情况统计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7"/>
        <w:gridCol w:w="84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附表二：依申请公开情况统计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4"/>
        <w:gridCol w:w="964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本年度申请总数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其中：1.当面申请数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2.传真申请数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3.互联网申请数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4.信函申请数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对申请的答复总数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 1.同意公开答复数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2.同意部分公开答复数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3.不予公开答复总数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4.信息不存在数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  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5.非本单位掌握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  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6.申请内容不明确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附表三：咨询情况统计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3"/>
        <w:gridCol w:w="1004"/>
        <w:gridCol w:w="9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0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附表四：复议、诉讼、申诉情况统计表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3"/>
        <w:gridCol w:w="927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附表五：人员与支出情况统计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3"/>
        <w:gridCol w:w="717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2.兼职人员数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628A2179A5534FC48E071D058AF6D495</vt:lpwstr>
  </property>
</Properties>
</file>