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二〇一三年西城区房屋管理局政府信息公开年度报告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45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（2014年3月)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本报告是根据《中华人民共和国政府信息公开条例》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（以下简称《条例》）要求，由西城区房屋管理局编制的二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一三年度政府信息公开年度报告。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文包括概述，主动公开政府信息情况，依申请公开政府信息和不予公开政府信息情况，政府信息公开的人员、收费及减免情况，政府信息公开咨询情况，因政府信息公开申请行政复议、提起行政诉讼情况，政府信息公开工作存在的主要问题、改进情况和其他需要报告的事项。报告后附相关的说明和指标统计图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区政府网站（http://www.bjxch.gov.cn）的政府信息公开专栏中可下载本报告的电子版。如对本报告有任何疑问，请联系：西城区房屋管理局，电话66157686。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《条例》要求，2008年5月1日起我局开始开展政府信息公开工作。为此，配备了两名兼职工作人员，设立了专门的信息申请受理点。截至2013年底，我局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2013年，我局主动公开政府信息113条，受理政府信息公开申请257件；因政府信息公开引发的行政复议案件19件，行政诉讼案件13件；接待咨询721余人次。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2013年，我局共主动公开政府信息113条，其中电子化率100%。在主动公开的信息中，机构职能类信息3条，占总体比例为2.7%；法规文件类信息39条，占总体的比例为34.5%；规划计划类信息3条，占总体的比例为2.7%； 业务动态类信息68条，占总体的比例为60.2%。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局在保守国家秘密、商业秘密、个人隐私的前提下，进一步深化主动公开内容，在政府网站信息公开专栏中加大了法规文件、房屋征收和住房保障类信息的公开力度，做到对外公开内容规范、准确，保障公民、法人、其他组织的知情权、监督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在主动公开的信息中，为方便公众了解信息，我局主动公开政府信息的形式上采用政府网站、服务指南等媒介。在便民服务上开展了有关检索目录的编制、宣传及便民手册等工作。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我局共收到政府信息公开申请257件。其中，当面申请76件，占总数的29.6%；以信函形式申请181，占总数的70.4%。从申请的信息内容来看，落实私房政策类22件，占总数的8.6%；房屋登记类58件，占总数的22.6%；房屋征收拆迁管理类174件，占总数的67.7%；物业管理类1件，占总数的0.4%；房地产开发管理类2件，占总数的0.8%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在已经答复的257件申请中：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“同意公开”的106件，占总数的41.2%；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“申请内容不明确，补正告知”的21件，占总数的8.2%；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“信息不存在”的12件，占总数的4.7%；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“非本机关信息”的8件，占总数的3.1%。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9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以政府信息答复告知书形式答复的110件，占总数的42.8%；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80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（一）工作人员情况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我局从事政府信息公开工作兼职人员共2人。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（二）依申请公开政府信息收费情况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2013年，我局依申请提供政府信息共收取检索、复印、邮递等成本费用共计310.8元。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2013年，我局对政府信息公开申请人减免收取检索、复印、邮递等成本费用共计10.6元。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2013年，我局与政府信息公开诉讼有关的费用支出共计0元。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五、咨询情况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2013年，我局共接受公民、法人及其他组织政府信息公开方面的咨询721余人次。其中，现场咨询342余人次，占总数的47.4%；电话咨询379余人次，占总数的52.6%。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六、行政复议和行政诉讼情况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2013年，针对我局政府信息公开的行政复议申请19件，行政诉讼13件。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七、存在的不足和改进措施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自信息公开条例实施以来，我局的政府信息公开工作取得了一些成绩，但是还存在许多不足之处，主要是信息公开工作的制度有待于进一步细化，政府信息主动公开的形式还不够全面、规范。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2014年，我局将继续以发挥政府信息的服务作用、提高政府工作的透明度、促进依法行政和加强自身建设为目标，围绕全局中心工作，积极、稳妥地推进政府信息公开工作。着力做好以下几方面工作：一是建立健全政府信息公开工作的各项制度和工作机制；二是进一步完善我局政府信息公开目录；三是进一步强化组织领导，提升政府信息公开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附图一：本单位近年政府信息主动公开数量变化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543425" cy="20764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附图二：本单位近年来依申请公开政府信息数量变化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7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4667250" cy="2076450"/>
                  <wp:effectExtent l="0" t="0" r="0" b="0"/>
                  <wp:docPr id="2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附表一：主动公开情况统计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5"/>
        <w:gridCol w:w="1027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标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附表二：依申请公开情况统计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  <w:gridCol w:w="960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          标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其中：1.当面申请数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2.传真申请数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3.互联网申请数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4.信函申请数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 1.同意公开答复数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2.同意部分公开答复数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3.不予公开答复总数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4.信息不存在数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            5.非本单位掌握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             6.申请内容不明确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7.答复告知书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附表三：咨询情况统计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2"/>
        <w:gridCol w:w="98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          标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1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附表四：复议、诉讼、申诉情况统计表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8"/>
        <w:gridCol w:w="980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8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附表五：人员与支出情况统计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5"/>
        <w:gridCol w:w="939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指         标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8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7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2.兼职人员数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2021-03-05T02:09:28Z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A839F3E0A654441FB5F22DC51ADB17D5</vt:lpwstr>
  </property>
</Properties>
</file>