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西城区商务委员会2017年政府信息公开工作年度报告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年3月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本报告是根据《中华人民共和国政府信息公开条例》（以下简称《条例》）要求，由西城区商务委员会编制的2017年度政府信息公开工作年度报告。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区政府网站（http://www.bjxch.gov.cn）政府信息公开专栏上可下载本报告的电子版。如对本报告有任何疑问，请联系：西城区商务委员会办公室（地址：西城区北滨河路九号，邮编：100055，电话：010-68012353）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根据《条例》要求，2008年5月1日起本单位开始开展政府信息公开工作。为此，专门配备了1名全职工作人员，1名兼职工作人员，设立了1个专门的信息申请受理点，并开辟了1（电子阅览室、公共查阅点）。截至2017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本单位2017年共主动公开政府信息147条，其中全文电子化率达100%。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在主动公开的信息中，机构职能类信息4条，占总体的比例为2.7%；规划计划类信息5条，占总体的比例为3.4%；行政职责类信息21条，占总体的比例为14.3%；业务动态类信息102条，占总体的比例为69.4%，机关建设类信息15条，占总体的比例为10.2%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2017年，我委将积极贯彻实施《条例》，进一步巩固政务公开工作成果，规范政务公开工作程序、内容和形式，深化机关工作职能和工作方式的转变，提高政务公开工作水平，实现政务公开工作常态管理，良性运转。不断创新政务公开的形式，努力提高服务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在主动公开的信息中，为方便公众了解信息，我委的政府信息公开工作通过：政府网站、政府信息公开大厅、政府信息公开栏、信息查阅点、电子屏幕、便民手册、服务指南、公告、通告、等形式公开。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本单位2017年度共收到政府信息公开申请1件。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本单位从事政府信息公开工作的全职人员共1人，兼职人员共1人。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2017年本单位依申请提供政府信息共收取检索、复印、邮递等成本费用共计0元。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2017年，本单位共接受公民、法人及其他组织政府信息公开方面的咨询3人次。其中，现场咨询1人次，占总数的33.3%；电话咨询2人次，占总数的66.6%；网上咨询0人次，占总数的0%。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2017年，针对本单位政府信息公开的行政复议申请0件。针对本单位政府信息公开的行政诉讼案0件。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附表一：主动公开情况统计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8"/>
        <w:gridCol w:w="935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指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0"/>
        <w:gridCol w:w="909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附表四：复议、诉讼、申诉情况统计表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5"/>
        <w:gridCol w:w="96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附表五：人员与支出情况统计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5"/>
        <w:gridCol w:w="915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全职人员数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兼职人员数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0A35"/>
    <w:rsid w:val="548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3AECA2666E5A4BDABE9DC2BE199CF53F</vt:lpwstr>
  </property>
</Properties>
</file>