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西城区金融服务办公室2014年政府信息公开工作年度报告</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本报告是根据《中华人民共和国政府信息公开条例》（以下简称《条例》）要求</w:t>
      </w:r>
      <w:bookmarkStart w:id="0" w:name="_GoBack"/>
      <w:bookmarkEnd w:id="0"/>
      <w:r>
        <w:rPr>
          <w:rFonts w:hint="default" w:ascii="Verdana" w:hAnsi="Verdana" w:eastAsia="sans-serif" w:cs="Verdana"/>
          <w:i w:val="0"/>
          <w:iCs w:val="0"/>
          <w:caps w:val="0"/>
          <w:color w:val="444444"/>
          <w:spacing w:val="0"/>
          <w:kern w:val="0"/>
          <w:sz w:val="30"/>
          <w:szCs w:val="30"/>
          <w:shd w:val="clear" w:fill="FFFFFF"/>
          <w:lang w:val="en-US" w:eastAsia="zh-CN" w:bidi="ar"/>
        </w:rPr>
        <w:t>，由西城区金融服务办公室编制的2014年度政府信息公开工作年度报告。</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区政府网站（http://www.bjxch.gov.cn）政府信息公开专栏上可下载本报告的电子版。如对本报告有任何疑问，请联系：西城区金融服务办公室综合科（西城区金城坊街1号金融街公寓C座601房间，联系电话66290670）。</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一、概述</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根据《条例》要求，2010年5月1日起本单位开始开展政府信息公开工作。为此，专门配备了1名兼职工作人员，设立了1个专门的信息申请受理点。截至2014年底，本单位政府信息公开工作运行正常，政府信息公开咨询、申请以及答复工作均得到了顺利开展。</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作为负责促进区域金融产业发展、金融服务工作的区政府直属机构，我办积极推进政府信息公开工作。</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二、政府信息主动公开情况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本单位2014年共主动公开政府信息54条，其中全文电子化率达100%。</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在主动公开的信息中，机构职能类信息2条，发布金融办内设机构情况，具体增加发展规划科和市场服务科职能介绍，占总体的比例为4%；规划计划类信息3条，发布本单位半年及全年工作总结和计划，方便了解工作进展情况，占总体的比例为5%；业务动态类信息49条，及时反映本单位业务工作开展情况，占总体的比例为91%。</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（二）公开形式</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严格按照全市统一部署，认真做好政府信息公开管理系统的使用、移送登记及数据报送工作等基础性工作，并及时更新单位机构设置、规划计划、业务动态等内容，通过制作金融街宣传手册、金融安全宣传手册等形式扩大主动公开信息范围，扎实推进政府信息公开工作。</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三、政府信息依申请公开情况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本单位2014年度共收到政府信息公开申请0件。</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四、人员和收支情况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（一）工作人员情况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本单位从事政府信息公开工作的兼职人员共1人，同上年相比无变化。</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（二）依申请公开政府信息收费情况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2014年本单位依申请提供政府信息共收取检索、复印、邮递等成本费用共计0元。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（三）依申请公开政府信息减免收费情况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2014年本单位对政府信息公开申请人减免收取检索、复印、邮递等成本费用共计0元。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（四）与诉讼有关的费用支出</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2014年本单位与诉讼有关的费用支出共计0元。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五、咨询情况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2014年，本单位共接受公民、法人及其他组织政府信息公开方面的咨询0人次。</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六、行政复议和行政诉讼情况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2014年，针对本单位政府信息公开的行政复议申请0件。</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七、主要问题和改进措施</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2014年本单位政府信息公开工作取得了新进展，但我办政府信息公开工作与上级要求和群众需求还有一定差距，一是政府信息公开的质量有待加强。要进一步充实公开信息内容。二是信息公开培训还需加强，确保信息公开准确性、时效性。</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2015年本单位在政府信息公开方面将进一步加强政府信息公开宣传和业务培训，充实公开信息内容，及时将相关金融产业政策等内容进行公开，切实提高行政透明度，更好为公众服务，提高行政效能和政府公信力。</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八、说明与附表</w:t>
      </w:r>
    </w:p>
    <w:p>
      <w:pPr>
        <w:keepNext w:val="0"/>
        <w:keepLines w:val="0"/>
        <w:widowControl/>
        <w:suppressLineNumbers w:val="0"/>
        <w:shd w:val="clear" w:fill="FFFFFF"/>
        <w:spacing w:line="560" w:lineRule="atLeast"/>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000000"/>
          <w:spacing w:val="0"/>
          <w:kern w:val="0"/>
          <w:sz w:val="18"/>
          <w:szCs w:val="18"/>
          <w:shd w:val="clear" w:fill="FFFFFF"/>
          <w:lang w:val="en-US" w:eastAsia="zh-CN" w:bidi="ar"/>
        </w:rPr>
        <w:t>附表一：主动公开情况统计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p>
    <w:tbl>
      <w:tblPr>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46"/>
        <w:gridCol w:w="805"/>
        <w:gridCol w:w="2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3" w:hRule="atLeast"/>
        </w:trPr>
        <w:tc>
          <w:tcPr>
            <w:tcW w:w="59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指    标</w:t>
            </w:r>
          </w:p>
        </w:tc>
        <w:tc>
          <w:tcPr>
            <w:tcW w:w="8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单位</w:t>
            </w:r>
          </w:p>
        </w:tc>
        <w:tc>
          <w:tcPr>
            <w:tcW w:w="27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59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主动公开信息数</w:t>
            </w:r>
          </w:p>
        </w:tc>
        <w:tc>
          <w:tcPr>
            <w:tcW w:w="8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3" w:hRule="atLeast"/>
        </w:trPr>
        <w:tc>
          <w:tcPr>
            <w:tcW w:w="59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其中：全文电子化的主动公开信息数</w:t>
            </w:r>
          </w:p>
        </w:tc>
        <w:tc>
          <w:tcPr>
            <w:tcW w:w="8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59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新增的行政规范性文件数</w:t>
            </w:r>
          </w:p>
        </w:tc>
        <w:tc>
          <w:tcPr>
            <w:tcW w:w="8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bl>
    <w:p>
      <w:pPr>
        <w:pStyle w:val="2"/>
        <w:keepNext w:val="0"/>
        <w:keepLines w:val="0"/>
        <w:widowControl/>
        <w:suppressLineNumbers w:val="0"/>
        <w:spacing w:before="75" w:beforeAutospacing="0" w:after="75" w:afterAutospacing="0"/>
        <w:ind w:left="0" w:right="0"/>
      </w:pPr>
    </w:p>
    <w:p>
      <w:pPr>
        <w:keepNext w:val="0"/>
        <w:keepLines w:val="0"/>
        <w:widowControl/>
        <w:suppressLineNumbers w:val="0"/>
        <w:shd w:val="clear" w:fill="FFFFFF"/>
        <w:spacing w:line="560" w:lineRule="atLeast"/>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line="560" w:lineRule="atLeast"/>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000000"/>
          <w:spacing w:val="0"/>
          <w:kern w:val="0"/>
          <w:sz w:val="18"/>
          <w:szCs w:val="18"/>
          <w:shd w:val="clear" w:fill="FFFFFF"/>
          <w:lang w:val="en-US" w:eastAsia="zh-CN" w:bidi="ar"/>
        </w:rPr>
        <w:t>附表二：人员与支出情况统计</w:t>
      </w:r>
    </w:p>
    <w:tbl>
      <w:tblPr>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98"/>
        <w:gridCol w:w="950"/>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color w:val="000000"/>
                <w:kern w:val="0"/>
                <w:sz w:val="18"/>
                <w:szCs w:val="18"/>
                <w:bdr w:val="none" w:color="auto" w:sz="0" w:space="0"/>
                <w:lang w:val="en-US" w:eastAsia="zh-CN" w:bidi="ar"/>
              </w:rPr>
              <w:t>指   </w:t>
            </w:r>
            <w:r>
              <w:rPr>
                <w:rFonts w:hint="eastAsia" w:ascii="宋体" w:hAnsi="宋体" w:eastAsia="宋体" w:cs="宋体"/>
                <w:color w:val="000000"/>
                <w:kern w:val="0"/>
                <w:sz w:val="18"/>
                <w:szCs w:val="18"/>
                <w:bdr w:val="none" w:color="auto" w:sz="0" w:space="0"/>
                <w:lang w:val="en-US" w:eastAsia="zh-CN" w:bidi="ar"/>
              </w:rPr>
              <w:t> </w:t>
            </w:r>
            <w:r>
              <w:rPr>
                <w:rStyle w:val="5"/>
                <w:rFonts w:hint="eastAsia" w:ascii="宋体" w:hAnsi="宋体" w:eastAsia="宋体" w:cs="宋体"/>
                <w:color w:val="000000"/>
                <w:kern w:val="0"/>
                <w:sz w:val="18"/>
                <w:szCs w:val="18"/>
                <w:bdr w:val="none" w:color="auto" w:sz="0" w:space="0"/>
                <w:lang w:val="en-US" w:eastAsia="zh-CN" w:bidi="ar"/>
              </w:rPr>
              <w:t>标</w:t>
            </w:r>
          </w:p>
        </w:tc>
        <w:tc>
          <w:tcPr>
            <w:tcW w:w="8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color w:val="000000"/>
                <w:kern w:val="0"/>
                <w:sz w:val="18"/>
                <w:szCs w:val="18"/>
                <w:bdr w:val="none" w:color="auto" w:sz="0" w:space="0"/>
                <w:lang w:val="en-US" w:eastAsia="zh-CN" w:bidi="ar"/>
              </w:rPr>
              <w:t>单位</w:t>
            </w:r>
          </w:p>
        </w:tc>
        <w:tc>
          <w:tcPr>
            <w:tcW w:w="30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依申请提供政府信息收取费用总额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依申请提供政府信息减免收费总额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与行政诉讼有关的费用支出总额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政府信息公开指定专职人员总数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其中：1.全职人员数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2.兼职人员数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F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C1EBF9987E98410A86E9EBCE313AFE29</vt:lpwstr>
  </property>
</Properties>
</file>