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36"/>
          <w:szCs w:val="36"/>
        </w:rPr>
        <w:t>西城区什刹海街道2017年政府信息公开工作年度报</w:t>
      </w:r>
      <w:bookmarkStart w:id="0" w:name="_GoBack"/>
      <w:bookmarkEnd w:id="0"/>
      <w:r>
        <w:rPr>
          <w:rFonts w:hint="eastAsia" w:ascii="宋体" w:hAnsi="宋体" w:eastAsia="宋体" w:cs="宋体"/>
          <w:b/>
          <w:bCs/>
          <w:i w:val="0"/>
          <w:iCs w:val="0"/>
          <w:caps w:val="0"/>
          <w:color w:val="000000"/>
          <w:spacing w:val="0"/>
          <w:sz w:val="36"/>
          <w:szCs w:val="36"/>
        </w:rPr>
        <w:t>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仿宋" w:hAnsi="仿宋" w:eastAsia="仿宋" w:cs="仿宋"/>
          <w:i w:val="0"/>
          <w:iCs w:val="0"/>
          <w:caps w:val="0"/>
          <w:color w:val="000000"/>
          <w:spacing w:val="0"/>
          <w:sz w:val="32"/>
          <w:szCs w:val="32"/>
          <w:bdr w:val="none" w:color="auto" w:sz="0" w:space="0"/>
        </w:rPr>
        <w:t>本报告根据《中华人民共和国政府信息公开条例》和《北京市政府信息公开规定》要求，由西城区什刹海街道编制2017年度政府信息公开工作年度报告。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全文包括什刹海街道办事处政府信息和政务公开2017年度重点工作情况、重点领域信息发布解读情况、存在的不足及2018年重点工作，以及主动公开、依申请公开（含不予公开）、行政复议、行政诉讼、举报等政府信息公开相关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本报告中所列数据的统计期限自2017年1月1日起，至2017年12月31日止。本报告的电子</w:t>
      </w:r>
      <w:r>
        <w:rPr>
          <w:rFonts w:hint="eastAsia" w:ascii="仿宋" w:hAnsi="仿宋" w:eastAsia="仿宋" w:cs="仿宋"/>
          <w:i w:val="0"/>
          <w:iCs w:val="0"/>
          <w:caps w:val="0"/>
          <w:color w:val="000000"/>
          <w:spacing w:val="-2"/>
          <w:sz w:val="32"/>
          <w:szCs w:val="32"/>
          <w:bdr w:val="none" w:color="auto" w:sz="0" w:space="0"/>
        </w:rPr>
        <w:t>版可在“</w:t>
      </w:r>
      <w:r>
        <w:rPr>
          <w:rFonts w:hint="eastAsia" w:ascii="仿宋" w:hAnsi="仿宋" w:eastAsia="仿宋" w:cs="仿宋"/>
          <w:i w:val="0"/>
          <w:iCs w:val="0"/>
          <w:caps w:val="0"/>
          <w:color w:val="000000"/>
          <w:spacing w:val="0"/>
          <w:sz w:val="32"/>
          <w:szCs w:val="32"/>
          <w:bdr w:val="none" w:color="auto" w:sz="0" w:space="0"/>
        </w:rPr>
        <w:t>北京西城什刹海街道办事处</w:t>
      </w:r>
      <w:r>
        <w:rPr>
          <w:rFonts w:hint="eastAsia" w:ascii="宋体" w:hAnsi="宋体" w:eastAsia="宋体" w:cs="宋体"/>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0"/>
          <w:sz w:val="32"/>
          <w:szCs w:val="32"/>
          <w:bdr w:val="none" w:color="auto" w:sz="0" w:space="0"/>
        </w:rPr>
        <w:t>门户网站（网址为 </w:t>
      </w:r>
      <w:r>
        <w:rPr>
          <w:rFonts w:hint="default" w:ascii="Times New Roman" w:hAnsi="Times New Roman" w:eastAsia="sans-serif" w:cs="Times New Roman"/>
          <w:i w:val="0"/>
          <w:iCs w:val="0"/>
          <w:caps w:val="0"/>
          <w:spacing w:val="0"/>
          <w:sz w:val="21"/>
          <w:szCs w:val="21"/>
          <w:bdr w:val="none" w:color="auto" w:sz="0" w:space="0"/>
        </w:rPr>
        <w:fldChar w:fldCharType="begin"/>
      </w:r>
      <w:r>
        <w:rPr>
          <w:rFonts w:hint="default" w:ascii="Times New Roman" w:hAnsi="Times New Roman" w:eastAsia="sans-serif" w:cs="Times New Roman"/>
          <w:i w:val="0"/>
          <w:iCs w:val="0"/>
          <w:caps w:val="0"/>
          <w:spacing w:val="0"/>
          <w:sz w:val="21"/>
          <w:szCs w:val="21"/>
          <w:bdr w:val="none" w:color="auto" w:sz="0" w:space="0"/>
        </w:rPr>
        <w:instrText xml:space="preserve"> HYPERLINK "http://www.bjxch.gov.cn/" </w:instrText>
      </w:r>
      <w:r>
        <w:rPr>
          <w:rFonts w:hint="default" w:ascii="Times New Roman" w:hAnsi="Times New Roman" w:eastAsia="sans-serif" w:cs="Times New Roman"/>
          <w:i w:val="0"/>
          <w:iCs w:val="0"/>
          <w:caps w:val="0"/>
          <w:spacing w:val="0"/>
          <w:sz w:val="21"/>
          <w:szCs w:val="21"/>
          <w:bdr w:val="none" w:color="auto" w:sz="0" w:space="0"/>
        </w:rPr>
        <w:fldChar w:fldCharType="separate"/>
      </w:r>
      <w:r>
        <w:rPr>
          <w:rStyle w:val="7"/>
          <w:rFonts w:hint="eastAsia" w:ascii="仿宋" w:hAnsi="仿宋" w:eastAsia="仿宋" w:cs="仿宋"/>
          <w:i w:val="0"/>
          <w:iCs w:val="0"/>
          <w:caps w:val="0"/>
          <w:color w:val="auto"/>
          <w:spacing w:val="0"/>
          <w:sz w:val="32"/>
          <w:szCs w:val="32"/>
          <w:bdr w:val="none" w:color="auto" w:sz="0" w:space="0"/>
        </w:rPr>
        <w:t>http://schjd.bjxch.gov.cn/</w:t>
      </w:r>
      <w:r>
        <w:rPr>
          <w:rFonts w:hint="default" w:ascii="Times New Roman" w:hAnsi="Times New Roman" w:eastAsia="sans-serif" w:cs="Times New Roman"/>
          <w:i w:val="0"/>
          <w:iCs w:val="0"/>
          <w:caps w:val="0"/>
          <w:spacing w:val="0"/>
          <w:sz w:val="21"/>
          <w:szCs w:val="21"/>
          <w:bdr w:val="none" w:color="auto" w:sz="0" w:space="0"/>
        </w:rPr>
        <w:fldChar w:fldCharType="end"/>
      </w:r>
      <w:r>
        <w:rPr>
          <w:rFonts w:hint="eastAsia" w:ascii="仿宋" w:hAnsi="仿宋" w:eastAsia="仿宋" w:cs="仿宋"/>
          <w:i w:val="0"/>
          <w:iCs w:val="0"/>
          <w:caps w:val="0"/>
          <w:color w:val="000000"/>
          <w:spacing w:val="0"/>
          <w:sz w:val="32"/>
          <w:szCs w:val="32"/>
          <w:bdr w:val="none" w:color="auto" w:sz="0" w:space="0"/>
        </w:rPr>
        <w:t>）</w:t>
      </w:r>
      <w:r>
        <w:rPr>
          <w:rFonts w:hint="eastAsia" w:ascii="仿宋" w:hAnsi="仿宋" w:eastAsia="仿宋" w:cs="仿宋"/>
          <w:i w:val="0"/>
          <w:iCs w:val="0"/>
          <w:caps w:val="0"/>
          <w:color w:val="000000"/>
          <w:spacing w:val="-2"/>
          <w:sz w:val="32"/>
          <w:szCs w:val="32"/>
          <w:bdr w:val="none" w:color="auto" w:sz="0" w:space="0"/>
        </w:rPr>
        <w:t>下载。</w:t>
      </w:r>
      <w:r>
        <w:rPr>
          <w:rFonts w:hint="eastAsia" w:ascii="仿宋" w:hAnsi="仿宋" w:eastAsia="仿宋" w:cs="仿宋"/>
          <w:i w:val="0"/>
          <w:iCs w:val="0"/>
          <w:caps w:val="0"/>
          <w:color w:val="000000"/>
          <w:spacing w:val="0"/>
          <w:sz w:val="32"/>
          <w:szCs w:val="32"/>
          <w:bdr w:val="none" w:color="auto" w:sz="0" w:space="0"/>
        </w:rPr>
        <w:t>如对报告有疑问，请与什刹海街道办事处办公室联系（地址:北京市西城区地安门西大街141号；邮编：100009；</w:t>
      </w:r>
      <w:r>
        <w:rPr>
          <w:rFonts w:hint="eastAsia" w:ascii="仿宋" w:hAnsi="仿宋" w:eastAsia="仿宋" w:cs="仿宋"/>
          <w:i w:val="0"/>
          <w:iCs w:val="0"/>
          <w:caps w:val="0"/>
          <w:color w:val="000000"/>
          <w:spacing w:val="-12"/>
          <w:sz w:val="32"/>
          <w:szCs w:val="32"/>
          <w:bdr w:val="none" w:color="auto" w:sz="0" w:space="0"/>
        </w:rPr>
        <w:t>联系电话：010-83223600；电子邮箱：</w:t>
      </w:r>
      <w:r>
        <w:rPr>
          <w:rFonts w:hint="default" w:ascii="Times New Roman" w:hAnsi="Times New Roman" w:eastAsia="sans-serif" w:cs="Times New Roman"/>
          <w:i w:val="0"/>
          <w:iCs w:val="0"/>
          <w:caps w:val="0"/>
          <w:spacing w:val="0"/>
          <w:sz w:val="21"/>
          <w:szCs w:val="21"/>
          <w:bdr w:val="none" w:color="auto" w:sz="0" w:space="0"/>
        </w:rPr>
        <w:fldChar w:fldCharType="begin"/>
      </w:r>
      <w:r>
        <w:rPr>
          <w:rFonts w:hint="default" w:ascii="Times New Roman" w:hAnsi="Times New Roman" w:eastAsia="sans-serif" w:cs="Times New Roman"/>
          <w:i w:val="0"/>
          <w:iCs w:val="0"/>
          <w:caps w:val="0"/>
          <w:spacing w:val="0"/>
          <w:sz w:val="21"/>
          <w:szCs w:val="21"/>
          <w:bdr w:val="none" w:color="auto" w:sz="0" w:space="0"/>
        </w:rPr>
        <w:instrText xml:space="preserve"> HYPERLINK "mailto:schjdbsc-xxgk@bjxch.gov.cn" </w:instrText>
      </w:r>
      <w:r>
        <w:rPr>
          <w:rFonts w:hint="default" w:ascii="Times New Roman" w:hAnsi="Times New Roman" w:eastAsia="sans-serif" w:cs="Times New Roman"/>
          <w:i w:val="0"/>
          <w:iCs w:val="0"/>
          <w:caps w:val="0"/>
          <w:spacing w:val="0"/>
          <w:sz w:val="21"/>
          <w:szCs w:val="21"/>
          <w:bdr w:val="none" w:color="auto" w:sz="0" w:space="0"/>
        </w:rPr>
        <w:fldChar w:fldCharType="separate"/>
      </w:r>
      <w:r>
        <w:rPr>
          <w:rStyle w:val="7"/>
          <w:rFonts w:hint="default" w:ascii="Times New Roman" w:hAnsi="Times New Roman" w:eastAsia="sans-serif" w:cs="Times New Roman"/>
          <w:i w:val="0"/>
          <w:iCs w:val="0"/>
          <w:caps w:val="0"/>
          <w:spacing w:val="-2"/>
          <w:sz w:val="32"/>
          <w:szCs w:val="32"/>
          <w:bdr w:val="none" w:color="auto" w:sz="0" w:space="0"/>
        </w:rPr>
        <w:t>schjdbsc-xxgk@bjxch.gov.c</w:t>
      </w:r>
      <w:r>
        <w:rPr>
          <w:rStyle w:val="7"/>
          <w:rFonts w:hint="default" w:ascii="Times New Roman" w:hAnsi="Times New Roman" w:eastAsia="sans-serif" w:cs="Times New Roman"/>
          <w:i w:val="0"/>
          <w:iCs w:val="0"/>
          <w:caps w:val="0"/>
          <w:spacing w:val="-12"/>
          <w:sz w:val="32"/>
          <w:szCs w:val="32"/>
          <w:bdr w:val="none" w:color="auto" w:sz="0" w:space="0"/>
        </w:rPr>
        <w:t>n</w:t>
      </w:r>
      <w:r>
        <w:rPr>
          <w:rFonts w:hint="default" w:ascii="Times New Roman" w:hAnsi="Times New Roman" w:eastAsia="sans-serif" w:cs="Times New Roman"/>
          <w:i w:val="0"/>
          <w:iCs w:val="0"/>
          <w:caps w:val="0"/>
          <w:spacing w:val="0"/>
          <w:sz w:val="21"/>
          <w:szCs w:val="21"/>
          <w:bdr w:val="none" w:color="auto" w:sz="0" w:space="0"/>
        </w:rPr>
        <w:fldChar w:fldCharType="end"/>
      </w:r>
      <w:r>
        <w:rPr>
          <w:rFonts w:hint="eastAsia" w:ascii="仿宋" w:hAnsi="仿宋" w:eastAsia="仿宋" w:cs="仿宋"/>
          <w:i w:val="0"/>
          <w:iCs w:val="0"/>
          <w:caps w:val="0"/>
          <w:color w:val="000000"/>
          <w:spacing w:val="-12"/>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12"/>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sz w:val="21"/>
          <w:szCs w:val="21"/>
        </w:rPr>
      </w:pPr>
      <w:r>
        <w:rPr>
          <w:rFonts w:ascii="华文中宋" w:hAnsi="华文中宋" w:eastAsia="华文中宋" w:cs="华文中宋"/>
          <w:i w:val="0"/>
          <w:iCs w:val="0"/>
          <w:caps w:val="0"/>
          <w:color w:val="000000"/>
          <w:spacing w:val="0"/>
          <w:sz w:val="48"/>
          <w:szCs w:val="48"/>
          <w:bdr w:val="none" w:color="auto" w:sz="0" w:space="0"/>
        </w:rPr>
        <w:t>2017</w:t>
      </w:r>
      <w:r>
        <w:rPr>
          <w:rFonts w:hint="eastAsia" w:ascii="华文中宋" w:hAnsi="华文中宋" w:eastAsia="华文中宋" w:cs="华文中宋"/>
          <w:i w:val="0"/>
          <w:iCs w:val="0"/>
          <w:caps w:val="0"/>
          <w:color w:val="000000"/>
          <w:spacing w:val="0"/>
          <w:sz w:val="48"/>
          <w:szCs w:val="48"/>
          <w:bdr w:val="none" w:color="auto" w:sz="0" w:space="0"/>
        </w:rPr>
        <w:t>年什刹海街道办事处政府信息公开工作年度报告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2017年是深入推进依法行政、加快建设法治政府的重要一年，我街道深入学习贯彻党的十九大精神，以习近平新时代中国特色社会主义思想为指引，以习近平总书记两次视察北京重要讲话精神为根本遵循，扎实推进落实《北京市西城区2017年政务公开工作方案及内容要点》及《中共北京市西城区委关于全面推进西城区法治政府建设的实施意见》，认真做好政务公开的各项工作,较好的完成政务公开工作任务，持续推进法治政府和服务型政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i w:val="0"/>
          <w:iCs w:val="0"/>
          <w:caps w:val="0"/>
          <w:color w:val="000000"/>
          <w:spacing w:val="0"/>
          <w:sz w:val="32"/>
          <w:szCs w:val="32"/>
          <w:bdr w:val="none" w:color="auto" w:sz="0" w:space="0"/>
        </w:rPr>
        <w:t>一、年度重点工作情况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（一）坚持依法科学决策，提升行政决策水平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完善重大决策预公开与政策解读工作流程</w:t>
      </w:r>
      <w:r>
        <w:rPr>
          <w:rFonts w:hint="eastAsia" w:ascii="仿宋" w:hAnsi="仿宋" w:eastAsia="仿宋" w:cs="仿宋"/>
          <w:i w:val="0"/>
          <w:iCs w:val="0"/>
          <w:caps w:val="0"/>
          <w:color w:val="000000"/>
          <w:spacing w:val="0"/>
          <w:sz w:val="32"/>
          <w:szCs w:val="32"/>
          <w:bdr w:val="none" w:color="auto" w:sz="0" w:space="0"/>
        </w:rPr>
        <w:t>。在政府网站建立重大行政决策预公开及政策解读平台，坚持“谁起草、谁公开、谁解读”的原则，由起草部门负责相关决策内容预公开并制作解读文件，同时建立街道主要负责人定期带头宣讲政策。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健全政府信息公开源头管理机制。</w:t>
      </w:r>
      <w:r>
        <w:rPr>
          <w:rFonts w:hint="eastAsia" w:ascii="仿宋" w:hAnsi="仿宋" w:eastAsia="仿宋" w:cs="仿宋"/>
          <w:i w:val="0"/>
          <w:iCs w:val="0"/>
          <w:caps w:val="0"/>
          <w:color w:val="000000"/>
          <w:spacing w:val="0"/>
          <w:sz w:val="32"/>
          <w:szCs w:val="32"/>
          <w:bdr w:val="none" w:color="auto" w:sz="0" w:space="0"/>
        </w:rPr>
        <w:t>信息报送实行信息报送责任制，遵循“谁报送，谁负责”的原则，各科室需对本部门报送的信息负责，保证所报送信息真实、准确，在信息产生的同时，同步确定其主动公开、依申请公开或不予公开的属性。街道负责保密的机构负责进行保密审查，按程序逐级进行报批，最终确定该信息的公开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（二）提升政务公开水平，坚定行政权力公开透明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完善政务公开工作机制</w:t>
      </w:r>
      <w:r>
        <w:rPr>
          <w:rFonts w:hint="eastAsia" w:ascii="仿宋" w:hAnsi="仿宋" w:eastAsia="仿宋" w:cs="仿宋"/>
          <w:i w:val="0"/>
          <w:iCs w:val="0"/>
          <w:caps w:val="0"/>
          <w:color w:val="000000"/>
          <w:spacing w:val="0"/>
          <w:sz w:val="32"/>
          <w:szCs w:val="32"/>
          <w:bdr w:val="none" w:color="auto" w:sz="0" w:space="0"/>
        </w:rPr>
        <w:t>。我街道认真落实西城区关于政务公开工作相关会议精神，并于第八次主任办公会上会研究通过《什刹海街道政务公开工作制度》，将街道主动公开工作、依申请公开工作及政务公开内部考核工作制度化、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（三）坚持以人民为中心，有序扩大政民互动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将政府信息公开与群众需求相结合</w:t>
      </w:r>
      <w:r>
        <w:rPr>
          <w:rFonts w:hint="eastAsia" w:ascii="仿宋" w:hAnsi="仿宋" w:eastAsia="仿宋" w:cs="仿宋"/>
          <w:i w:val="0"/>
          <w:iCs w:val="0"/>
          <w:caps w:val="0"/>
          <w:color w:val="000000"/>
          <w:spacing w:val="0"/>
          <w:sz w:val="32"/>
          <w:szCs w:val="32"/>
          <w:bdr w:val="none" w:color="auto" w:sz="0" w:space="0"/>
        </w:rPr>
        <w:t>。什刹海街道政府信息公开坚持按照四个原则：即：坚持依法公开的原则；坚持真实公正的原则；坚持注重实效的原则；坚持有利监督的原则，以公开为原则，不公开为例外，凡是法律、法规、规章要求，政府及政府机关做出的具有普遍约束力的行政决定，只要不属于不予公开的事项，都对外予以公开。同时加强监管力度，确保信息公开的内容真实可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将政府信息公开与为民办实事相结合。</w:t>
      </w:r>
      <w:r>
        <w:rPr>
          <w:rFonts w:hint="eastAsia" w:ascii="仿宋" w:hAnsi="仿宋" w:eastAsia="仿宋" w:cs="仿宋"/>
          <w:i w:val="0"/>
          <w:iCs w:val="0"/>
          <w:caps w:val="0"/>
          <w:color w:val="000000"/>
          <w:spacing w:val="0"/>
          <w:sz w:val="32"/>
          <w:szCs w:val="32"/>
          <w:bdr w:val="none" w:color="auto" w:sz="0" w:space="0"/>
        </w:rPr>
        <w:t>什刹海街道实际情况，将政府信息公开与为民办实事工作相结合。让辖区居民及时了解街道为民办实事项目的进展情况，随时接受居民的检查和监督。对于涉及重大民生问题、社会关注度高的议题，邀请相关代表列席会议；同时在年初召开什刹海街道2017年工作会，向公众汇报我街道2016年工作总结及2017年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进一步加强政府网站建设和管理</w:t>
      </w:r>
      <w:r>
        <w:rPr>
          <w:rFonts w:hint="eastAsia" w:ascii="仿宋" w:hAnsi="仿宋" w:eastAsia="仿宋" w:cs="仿宋"/>
          <w:i w:val="0"/>
          <w:iCs w:val="0"/>
          <w:caps w:val="0"/>
          <w:color w:val="000000"/>
          <w:spacing w:val="0"/>
          <w:sz w:val="32"/>
          <w:szCs w:val="32"/>
          <w:bdr w:val="none" w:color="auto" w:sz="0" w:space="0"/>
        </w:rPr>
        <w:t>。通过更加符合传播规律的信息发布方式，将政府网站打造成更加及时、准确、公开透明的政府信息发布平台，在网络领域传播主流声音。把提高运用信息公开平台的能力纳入政府工作人员学习和培训体系。通过学习和运用最新技术成果，掌握运用新媒体载体开展政府信息公开的具体方式和策略，真正把握平台机制的特点和规律，更好地运用信息公开平台开展政府信息公开工作，做到“听”民声、“答”民疑、“解”民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（四）加强法治能力建设，增强政务公开意识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加强对领导干部政务公开业务培训</w:t>
      </w:r>
      <w:r>
        <w:rPr>
          <w:rFonts w:hint="eastAsia" w:ascii="仿宋" w:hAnsi="仿宋" w:eastAsia="仿宋" w:cs="仿宋"/>
          <w:i w:val="0"/>
          <w:iCs w:val="0"/>
          <w:caps w:val="0"/>
          <w:color w:val="000000"/>
          <w:spacing w:val="0"/>
          <w:sz w:val="32"/>
          <w:szCs w:val="32"/>
          <w:bdr w:val="none" w:color="auto" w:sz="0" w:space="0"/>
        </w:rPr>
        <w:t>。通过主任办公会会前学法、机关干部培训等形式，组织学习通过法律知识与履行职责相关的专门法律知识，提升领导干部法治思维和法治能力。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加强法律人才队伍建设</w:t>
      </w:r>
      <w:r>
        <w:rPr>
          <w:rFonts w:hint="eastAsia" w:ascii="仿宋" w:hAnsi="仿宋" w:eastAsia="仿宋" w:cs="仿宋"/>
          <w:i w:val="0"/>
          <w:iCs w:val="0"/>
          <w:caps w:val="0"/>
          <w:color w:val="000000"/>
          <w:spacing w:val="0"/>
          <w:sz w:val="32"/>
          <w:szCs w:val="32"/>
          <w:bdr w:val="none" w:color="auto" w:sz="0" w:space="0"/>
        </w:rPr>
        <w:t>。2017年我街道三名工作人员完成西城区法律人才库课程培训，通过专业知识学习，强化公务员依法行政意识和能力，不断提高法治人员的软实力。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rPr>
        <w:t>二、信息公开数据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ascii="楷体" w:hAnsi="楷体" w:eastAsia="楷体" w:cs="楷体"/>
          <w:i w:val="0"/>
          <w:iCs w:val="0"/>
          <w:caps w:val="0"/>
          <w:color w:val="000000"/>
          <w:spacing w:val="0"/>
          <w:sz w:val="32"/>
          <w:szCs w:val="32"/>
          <w:bdr w:val="none" w:color="auto" w:sz="0" w:space="0"/>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2017年主动公开政府信息数564件。重点领域公开政府信息数1件。其中，主动公开财政预算决算、“三公经费”和行政经费信息数1件。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通过不同渠道和方式公开政府信息的情况，包括政府网站公开政府信息数564件。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在主动公开的信息中，为方便公众了解信息，什刹海街道在公共服务大厅、社区图书馆设立了2个政府信息查阅中心。查阅中心由区政府统一配备了电脑、打印机、文件架，在醒目位置张贴了统一制作的政府信息公开标识、政府信息公开查阅门牌。制定了接待查询工作规范、接待查询语言规范等规章制度。在社区服务中心、辖区人员活动集中区域和社区图书馆设立政府信息公开工作宣传栏。印制了行政事务办理手册，将我街道承办的各项行政事务的具体办理流程和办理依据以及居民关心的热点问题印制成手册，如《单独夫妻办理再生育一个子女生育服务证办事指南》、《残疾人学生和生活困难残疾人子女学生助学补助申请审批》等，免费发放给辖区居民，并在街道公共服务大厅和辖区居委会设立领取点，方便附件居民前来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2017年度我街道共承办区人大建议4件，政协提案6件，由区统一公开，街道未涉及此类信息的公开，已于6月份前完成，并已报区委、区政府联络室通过网站对外公开。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楷体" w:hAnsi="楷体" w:eastAsia="楷体" w:cs="楷体"/>
          <w:i w:val="0"/>
          <w:iCs w:val="0"/>
          <w:caps w:val="0"/>
          <w:color w:val="000000"/>
          <w:spacing w:val="0"/>
          <w:sz w:val="32"/>
          <w:szCs w:val="32"/>
          <w:bdr w:val="none" w:color="auto" w:sz="0" w:space="0"/>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1.申请情况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申请总数为15件，申请方式中，当面申请13件，占总数的87%；以信函形式申请2件，占总数的13%。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申请内容主要涉及科室职责职能、违法建设、民政救助等方面。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2.答复情况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申请共涉及申请事项15项，已到答复期的15项申请事项全部按期答复。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已答复的15项申请中：申请内容明确，可以答复是否公开的共15项（占总数的100%）。其中：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“属于已主动公开范围”2项，占总数的13%；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“同意公开”1项，占总数的7%；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“不同意公开”6项：其中，涉及个人隐私1项；非《条例》所指政府信息5项，占总数的40%；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“不属于本行政机关公开” 6项，占总数的40%；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楷体" w:hAnsi="楷体" w:eastAsia="楷体" w:cs="楷体"/>
          <w:i w:val="0"/>
          <w:iCs w:val="0"/>
          <w:caps w:val="0"/>
          <w:color w:val="000000"/>
          <w:spacing w:val="0"/>
          <w:sz w:val="32"/>
          <w:szCs w:val="32"/>
          <w:bdr w:val="none" w:color="auto" w:sz="0" w:space="0"/>
        </w:rPr>
        <w:t>（三）行政复议、诉讼及举报情况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1.行政复议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2017年我街道共有政府信息公开行政复议案件2件，其中维持行政机关做出的政府信息公开答复告知书的1件，撤销的1件。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2017年我街道与政府信息公开有关的行政诉讼案件共7件。一审案件0件，二审案件7件。其中，判决维持7件。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Style w:val="5"/>
          <w:rFonts w:hint="eastAsia" w:ascii="楷体" w:hAnsi="楷体" w:eastAsia="楷体" w:cs="楷体"/>
          <w:i w:val="0"/>
          <w:iCs w:val="0"/>
          <w:caps w:val="0"/>
          <w:color w:val="000000"/>
          <w:spacing w:val="0"/>
          <w:sz w:val="32"/>
          <w:szCs w:val="32"/>
          <w:bdr w:val="none" w:color="auto" w:sz="0" w:space="0"/>
        </w:rPr>
        <w:t>（四）机构建设及保障培训情况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left"/>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我街道政府信息公开工作专门机构数为1个，设置政府信息公开查阅点数2个；从事政府信息公开工作人员1名，其中，专职人员数0人；兼职人员数1人。全年召开政府信息公开工作会议或专题会议数2次：举办各类培训班数3次：接受培训人员数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rPr>
        <w:t>三、存在的不足及2018年重点工作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楷体" w:hAnsi="楷体" w:eastAsia="楷体" w:cs="楷体"/>
          <w:i w:val="0"/>
          <w:iCs w:val="0"/>
          <w:caps w:val="0"/>
          <w:color w:val="000000"/>
          <w:spacing w:val="0"/>
          <w:sz w:val="32"/>
          <w:szCs w:val="32"/>
          <w:bdr w:val="none" w:color="auto" w:sz="0" w:space="0"/>
        </w:rPr>
        <w:t>（一）存在的不足。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一是公开内容不够规范，制度完善程度有待加强，需适应新时代发展要求，从“标准规范”向“精准服务”提升；二是监督机制还有待进一步健全、监督力度还有待进一步加强。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楷体" w:hAnsi="楷体" w:eastAsia="楷体" w:cs="楷体"/>
          <w:i w:val="0"/>
          <w:iCs w:val="0"/>
          <w:caps w:val="0"/>
          <w:color w:val="000000"/>
          <w:spacing w:val="0"/>
          <w:sz w:val="32"/>
          <w:szCs w:val="32"/>
          <w:bdr w:val="none" w:color="auto" w:sz="0" w:space="0"/>
        </w:rPr>
        <w:t>（二）2018年重点工作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继续加强信息公开机制建设</w:t>
      </w:r>
      <w:r>
        <w:rPr>
          <w:rFonts w:hint="eastAsia" w:ascii="仿宋" w:hAnsi="仿宋" w:eastAsia="仿宋" w:cs="仿宋"/>
          <w:i w:val="0"/>
          <w:iCs w:val="0"/>
          <w:caps w:val="0"/>
          <w:color w:val="000000"/>
          <w:spacing w:val="0"/>
          <w:sz w:val="32"/>
          <w:szCs w:val="32"/>
          <w:bdr w:val="none" w:color="auto" w:sz="0" w:space="0"/>
        </w:rPr>
        <w:t>。完善街道政务公开工作制度，及时查漏补缺，建立健全政府信息公开源头管理机制，加大主动公开力度，切实丰富政府信息公开的内容。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深入推进政务公开公众参与。</w:t>
      </w:r>
      <w:r>
        <w:rPr>
          <w:rFonts w:hint="eastAsia" w:ascii="仿宋" w:hAnsi="仿宋" w:eastAsia="仿宋" w:cs="仿宋"/>
          <w:i w:val="0"/>
          <w:iCs w:val="0"/>
          <w:caps w:val="0"/>
          <w:color w:val="000000"/>
          <w:spacing w:val="0"/>
          <w:sz w:val="32"/>
          <w:szCs w:val="32"/>
          <w:bdr w:val="none" w:color="auto" w:sz="0" w:space="0"/>
        </w:rPr>
        <w:t>进一步制定并完善什刹海街道会议开放制度及政府开放日制度，提高街道议题建立的民主性和公众性，开展多种形式的信息公开方式，畅通公开渠道。有针对性的开展工作，广泛听取群众的意见与建议，把人民群众普遍关心、涉及群众利益的政府信息作为政府信息公开的重点内容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拓展优化依申请信息公开工作机制。</w:t>
      </w:r>
      <w:r>
        <w:rPr>
          <w:rFonts w:hint="eastAsia" w:ascii="仿宋" w:hAnsi="仿宋" w:eastAsia="仿宋" w:cs="仿宋"/>
          <w:i w:val="0"/>
          <w:iCs w:val="0"/>
          <w:caps w:val="0"/>
          <w:color w:val="000000"/>
          <w:spacing w:val="0"/>
          <w:sz w:val="32"/>
          <w:szCs w:val="32"/>
          <w:bdr w:val="none" w:color="auto" w:sz="0" w:space="0"/>
        </w:rPr>
        <w:t>继续保持申请受理渠道畅通，确保答复程序合法、格式规范、内容严谨。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5"/>
          <w:rFonts w:hint="eastAsia" w:ascii="仿宋" w:hAnsi="仿宋" w:eastAsia="仿宋" w:cs="仿宋"/>
          <w:i w:val="0"/>
          <w:iCs w:val="0"/>
          <w:caps w:val="0"/>
          <w:color w:val="000000"/>
          <w:spacing w:val="0"/>
          <w:sz w:val="32"/>
          <w:szCs w:val="32"/>
          <w:bdr w:val="none" w:color="auto" w:sz="0" w:space="0"/>
        </w:rPr>
        <w:t>完善政府网站发布平台。</w:t>
      </w:r>
      <w:r>
        <w:rPr>
          <w:rFonts w:hint="eastAsia" w:ascii="仿宋" w:hAnsi="仿宋" w:eastAsia="仿宋" w:cs="仿宋"/>
          <w:i w:val="0"/>
          <w:iCs w:val="0"/>
          <w:caps w:val="0"/>
          <w:color w:val="000000"/>
          <w:spacing w:val="0"/>
          <w:sz w:val="32"/>
          <w:szCs w:val="32"/>
          <w:bdr w:val="none" w:color="auto" w:sz="0" w:space="0"/>
        </w:rPr>
        <w:t>健全政府信息公开网目录体系和政务微博、微信等新媒体渠道，提高网站群常态化监测水平和信息发布规范化水平。敦促各科室认真梳理信息目录，做好分类公开的各项工作，及时公布信息，切实做到信息公开的内容按市、区政府的要求，常换常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firstLine="640"/>
        <w:jc w:val="left"/>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shd w:val="clear" w:fill="FFFFFF"/>
        </w:rPr>
        <w:t>附件：什刹海街道2017年度政府信息公开情况统计表</w:t>
      </w:r>
    </w:p>
    <w:tbl>
      <w:tblPr>
        <w:tblW w:w="6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45"/>
        <w:gridCol w:w="436"/>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6180" w:type="dxa"/>
            <w:gridSpan w:val="3"/>
            <w:tcBorders>
              <w:top w:val="dotted" w:color="D3D3D3" w:sz="6" w:space="0"/>
              <w:left w:val="dotted" w:color="D3D3D3" w:sz="6" w:space="0"/>
              <w:bottom w:val="dotted" w:color="D3D3D3" w:sz="6" w:space="0"/>
              <w:right w:val="dotted" w:color="D3D3D3" w:sz="6"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color w:val="FF8080"/>
                <w:sz w:val="24"/>
                <w:szCs w:val="24"/>
                <w:bdr w:val="none" w:color="auto" w:sz="0" w:space="0"/>
              </w:rPr>
              <w:t>政府信息公开情况统计表</w:t>
            </w:r>
            <w:r>
              <w:rPr>
                <w:rStyle w:val="6"/>
                <w:rFonts w:hint="default" w:ascii="Arial" w:hAnsi="Arial" w:cs="Arial"/>
                <w:color w:val="FF8080"/>
                <w:sz w:val="24"/>
                <w:szCs w:val="24"/>
                <w:bdr w:val="none" w:color="auto" w:sz="0" w:space="0"/>
              </w:rPr>
              <w:br w:type="textWrapping"/>
            </w:r>
            <w:r>
              <w:rPr>
                <w:rStyle w:val="6"/>
                <w:rFonts w:hint="default" w:ascii="Arial" w:hAnsi="Arial" w:cs="Arial"/>
                <w:color w:val="FF8080"/>
                <w:sz w:val="24"/>
                <w:szCs w:val="24"/>
                <w:bdr w:val="none" w:color="auto" w:sz="0" w:space="0"/>
              </w:rPr>
              <w:br w:type="textWrapping"/>
            </w:r>
            <w:r>
              <w:rPr>
                <w:rStyle w:val="5"/>
                <w:rFonts w:hint="eastAsia" w:ascii="宋体" w:hAnsi="宋体" w:eastAsia="宋体" w:cs="宋体"/>
                <w:color w:val="FF8080"/>
                <w:sz w:val="24"/>
                <w:szCs w:val="24"/>
                <w:bdr w:val="none" w:color="auto" w:sz="0" w:space="0"/>
              </w:rPr>
              <w:t>（</w:t>
            </w:r>
            <w:r>
              <w:rPr>
                <w:rStyle w:val="5"/>
                <w:rFonts w:hint="default" w:ascii="Arial" w:hAnsi="Arial" w:cs="Arial"/>
                <w:color w:val="FF8080"/>
                <w:sz w:val="24"/>
                <w:szCs w:val="24"/>
                <w:bdr w:val="none" w:color="auto" w:sz="0" w:space="0"/>
              </w:rPr>
              <w:t>2017</w:t>
            </w:r>
            <w:r>
              <w:rPr>
                <w:rStyle w:val="5"/>
                <w:rFonts w:hint="eastAsia" w:ascii="宋体" w:hAnsi="宋体" w:eastAsia="宋体" w:cs="宋体"/>
                <w:color w:val="FF8080"/>
                <w:sz w:val="24"/>
                <w:szCs w:val="24"/>
                <w:bdr w:val="none" w:color="auto" w:sz="0" w:space="0"/>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6" w:hRule="atLeast"/>
        </w:trPr>
        <w:tc>
          <w:tcPr>
            <w:tcW w:w="5445" w:type="dxa"/>
            <w:tcBorders>
              <w:top w:val="dotted" w:color="D3D3D3" w:sz="6" w:space="0"/>
              <w:left w:val="dotted" w:color="D3D3D3" w:sz="6" w:space="0"/>
              <w:bottom w:val="dotted" w:color="D3D3D3" w:sz="6" w:space="0"/>
              <w:right w:val="dotted" w:color="D3D3D3" w:sz="6"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填报单位（盖章）：</w:t>
            </w:r>
          </w:p>
        </w:tc>
        <w:tc>
          <w:tcPr>
            <w:tcW w:w="315" w:type="dxa"/>
            <w:tcBorders>
              <w:top w:val="dotted" w:color="D3D3D3" w:sz="6" w:space="0"/>
              <w:left w:val="dotted" w:color="D3D3D3" w:sz="6" w:space="0"/>
              <w:bottom w:val="dotted" w:color="D3D3D3" w:sz="6" w:space="0"/>
              <w:right w:val="dotted" w:color="D3D3D3" w:sz="6" w:space="0"/>
            </w:tcBorders>
            <w:shd w:val="clear" w:color="auto" w:fill="FFFFFF"/>
            <w:noWrap/>
            <w:tcMar>
              <w:left w:w="108" w:type="dxa"/>
              <w:right w:w="108" w:type="dxa"/>
            </w:tcMar>
            <w:vAlign w:val="center"/>
          </w:tcPr>
          <w:p>
            <w:pPr>
              <w:keepNext w:val="0"/>
              <w:keepLines w:val="0"/>
              <w:widowControl/>
              <w:suppressLineNumbers w:val="0"/>
              <w:jc w:val="left"/>
              <w:rPr>
                <w:sz w:val="18"/>
                <w:szCs w:val="18"/>
              </w:rPr>
            </w:pPr>
          </w:p>
        </w:tc>
        <w:tc>
          <w:tcPr>
            <w:tcW w:w="405" w:type="dxa"/>
            <w:tcBorders>
              <w:top w:val="dotted" w:color="D3D3D3" w:sz="6" w:space="0"/>
              <w:left w:val="dotted" w:color="D3D3D3" w:sz="6" w:space="0"/>
              <w:bottom w:val="dotted" w:color="D3D3D3" w:sz="6" w:space="0"/>
              <w:right w:val="dotted" w:color="D3D3D3" w:sz="6" w:space="0"/>
            </w:tcBorders>
            <w:shd w:val="clear" w:color="auto" w:fill="FFFFFF"/>
            <w:noWrap/>
            <w:tcMar>
              <w:left w:w="108" w:type="dxa"/>
              <w:right w:w="108"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统</w:t>
            </w: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计</w:t>
            </w: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指</w:t>
            </w: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标</w:t>
            </w:r>
          </w:p>
        </w:tc>
        <w:tc>
          <w:tcPr>
            <w:tcW w:w="3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Style w:val="5"/>
                <w:rFonts w:ascii="等线" w:hAnsi="等线" w:eastAsia="等线" w:cs="等线"/>
                <w:sz w:val="22"/>
                <w:szCs w:val="22"/>
                <w:bdr w:val="none" w:color="auto" w:sz="0" w:space="0"/>
              </w:rPr>
              <w:t>单位</w:t>
            </w:r>
          </w:p>
        </w:tc>
        <w:tc>
          <w:tcPr>
            <w:tcW w:w="405" w:type="dxa"/>
            <w:tcBorders>
              <w:top w:val="single" w:color="auto" w:sz="8" w:space="0"/>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一、主动公开情况</w:t>
            </w:r>
          </w:p>
        </w:tc>
        <w:tc>
          <w:tcPr>
            <w:tcW w:w="315" w:type="dxa"/>
            <w:tcBorders>
              <w:top w:val="dotted" w:color="D3D3D3" w:sz="6" w:space="0"/>
              <w:left w:val="dotted" w:color="D3D3D3" w:sz="6" w:space="0"/>
              <w:bottom w:val="dotted" w:color="D3D3D3" w:sz="6" w:space="0"/>
              <w:right w:val="dotted" w:color="D3D3D3" w:sz="6" w:space="0"/>
            </w:tcBorders>
            <w:shd w:val="clear" w:color="auto" w:fill="FFFFFF"/>
            <w:noWrap/>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（一）主动公开政府信息数（不同渠道和方式公开相同信息计</w:t>
            </w:r>
            <w:r>
              <w:rPr>
                <w:rFonts w:hint="default" w:ascii="Arial" w:hAnsi="Arial" w:cs="Arial"/>
                <w:sz w:val="20"/>
                <w:szCs w:val="20"/>
                <w:bdr w:val="none" w:color="auto" w:sz="0" w:space="0"/>
              </w:rPr>
              <w:t>1</w:t>
            </w:r>
            <w:r>
              <w:rPr>
                <w:rFonts w:hint="eastAsia" w:ascii="宋体" w:hAnsi="宋体" w:eastAsia="宋体" w:cs="宋体"/>
                <w:sz w:val="20"/>
                <w:szCs w:val="20"/>
                <w:bdr w:val="none" w:color="auto" w:sz="0" w:space="0"/>
              </w:rPr>
              <w:t>条）</w:t>
            </w:r>
          </w:p>
        </w:tc>
        <w:tc>
          <w:tcPr>
            <w:tcW w:w="3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其中：主动公开规范性文件数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制发规范性文件总数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（二）重点领域公开政府信息数（不同渠道和方式公开相同信息计</w:t>
            </w:r>
            <w:r>
              <w:rPr>
                <w:rFonts w:hint="default" w:ascii="Arial" w:hAnsi="Arial" w:cs="Arial"/>
                <w:sz w:val="20"/>
                <w:szCs w:val="20"/>
                <w:bdr w:val="none" w:color="auto" w:sz="0" w:space="0"/>
              </w:rPr>
              <w:t>1</w:t>
            </w:r>
            <w:r>
              <w:rPr>
                <w:rFonts w:hint="eastAsia" w:ascii="宋体" w:hAnsi="宋体" w:eastAsia="宋体" w:cs="宋体"/>
                <w:sz w:val="20"/>
                <w:szCs w:val="20"/>
                <w:bdr w:val="none" w:color="auto" w:sz="0" w:space="0"/>
              </w:rPr>
              <w:t>条）</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其中：主动公开财政预算决算、</w:t>
            </w:r>
            <w:r>
              <w:rPr>
                <w:rFonts w:hint="default" w:ascii="Arial" w:hAnsi="Arial" w:cs="Arial"/>
                <w:sz w:val="20"/>
                <w:szCs w:val="20"/>
                <w:bdr w:val="none" w:color="auto" w:sz="0" w:space="0"/>
              </w:rPr>
              <w:t>“</w:t>
            </w:r>
            <w:r>
              <w:rPr>
                <w:rFonts w:hint="eastAsia" w:ascii="宋体" w:hAnsi="宋体" w:eastAsia="宋体" w:cs="宋体"/>
                <w:sz w:val="20"/>
                <w:szCs w:val="20"/>
                <w:bdr w:val="none" w:color="auto" w:sz="0" w:space="0"/>
              </w:rPr>
              <w:t>三公经费</w:t>
            </w:r>
            <w:r>
              <w:rPr>
                <w:rFonts w:hint="default" w:ascii="Arial" w:hAnsi="Arial" w:cs="Arial"/>
                <w:sz w:val="20"/>
                <w:szCs w:val="20"/>
                <w:bdr w:val="none" w:color="auto" w:sz="0" w:space="0"/>
              </w:rPr>
              <w:t>”</w:t>
            </w:r>
            <w:r>
              <w:rPr>
                <w:rFonts w:hint="eastAsia" w:ascii="宋体" w:hAnsi="宋体" w:eastAsia="宋体" w:cs="宋体"/>
                <w:sz w:val="20"/>
                <w:szCs w:val="20"/>
                <w:bdr w:val="none" w:color="auto" w:sz="0" w:space="0"/>
              </w:rPr>
              <w:t>和行政经费信息数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主动公开保障性安居工程建设计划、项目开工和竣工情况，保障性住房的分配和退出等信息数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主动公开食品安全标准，食品生产经营许可、专项检查整治等信息数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主动公开环境核查审批、环境状况公报和重特大突发环境事件等信息数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主动公开招投标违法违规行为及处理情况、国有资金占控股或者主导地位依法应当招标的项目等信息数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主动公开生产安全事故的政府举措、处置进展、风险预警、防范措施等信息数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主动公开农用地转为建设用地批准、征收集体土地批准、征地公告征地补偿安置公示、集体土地征收结案等信息数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主动公开政府指导价、政府定价和收费标准调整的项目、价格、依据、执行时间和范围等信息数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主动公开本市企业信用信息系统中的警示信息和良好信息等信息数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主动公开政府部门预算执行审计结果等信息数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主动公开行政机关对与人民群众利益密切相关的公共企事业单位进行监督管理的信息数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主动公开市人民政府决定主动公开的其他信息数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（三）通过不同渠道和方式公开政府信息的情况</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1.</w:t>
            </w:r>
            <w:r>
              <w:rPr>
                <w:rFonts w:hint="eastAsia" w:ascii="宋体" w:hAnsi="宋体" w:eastAsia="宋体" w:cs="宋体"/>
                <w:sz w:val="20"/>
                <w:szCs w:val="20"/>
                <w:bdr w:val="none" w:color="auto" w:sz="0" w:space="0"/>
              </w:rPr>
              <w:t>政府公报公开政府信息数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2.</w:t>
            </w:r>
            <w:r>
              <w:rPr>
                <w:rFonts w:hint="eastAsia" w:ascii="宋体" w:hAnsi="宋体" w:eastAsia="宋体" w:cs="宋体"/>
                <w:sz w:val="20"/>
                <w:szCs w:val="20"/>
                <w:bdr w:val="none" w:color="auto" w:sz="0" w:space="0"/>
              </w:rPr>
              <w:t>政府网站公开政府信息数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3.</w:t>
            </w:r>
            <w:r>
              <w:rPr>
                <w:rFonts w:hint="eastAsia" w:ascii="宋体" w:hAnsi="宋体" w:eastAsia="宋体" w:cs="宋体"/>
                <w:sz w:val="20"/>
                <w:szCs w:val="20"/>
                <w:bdr w:val="none" w:color="auto" w:sz="0" w:space="0"/>
              </w:rPr>
              <w:t>政务微博公开政府信息数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4.</w:t>
            </w:r>
            <w:r>
              <w:rPr>
                <w:rFonts w:hint="eastAsia" w:ascii="宋体" w:hAnsi="宋体" w:eastAsia="宋体" w:cs="宋体"/>
                <w:sz w:val="20"/>
                <w:szCs w:val="20"/>
                <w:bdr w:val="none" w:color="auto" w:sz="0" w:space="0"/>
              </w:rPr>
              <w:t>政务微信公开政府信息数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5.</w:t>
            </w:r>
            <w:r>
              <w:rPr>
                <w:rFonts w:hint="eastAsia" w:ascii="宋体" w:hAnsi="宋体" w:eastAsia="宋体" w:cs="宋体"/>
                <w:sz w:val="20"/>
                <w:szCs w:val="20"/>
                <w:bdr w:val="none" w:color="auto" w:sz="0" w:space="0"/>
              </w:rPr>
              <w:t>其他方式公开政府信息数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二、回应解读情况</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（一）回应公众关注热点或重大舆情数（不同方式回应同一热点或舆情计</w:t>
            </w:r>
            <w:r>
              <w:rPr>
                <w:rFonts w:hint="default" w:ascii="Arial" w:hAnsi="Arial" w:cs="Arial"/>
                <w:sz w:val="20"/>
                <w:szCs w:val="20"/>
                <w:bdr w:val="none" w:color="auto" w:sz="0" w:space="0"/>
              </w:rPr>
              <w:t>1</w:t>
            </w:r>
            <w:r>
              <w:rPr>
                <w:rFonts w:hint="eastAsia" w:ascii="宋体" w:hAnsi="宋体" w:eastAsia="宋体" w:cs="宋体"/>
                <w:sz w:val="20"/>
                <w:szCs w:val="20"/>
                <w:bdr w:val="none" w:color="auto" w:sz="0" w:space="0"/>
              </w:rPr>
              <w:t>次）</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（二）通过不同渠道和方式回应解读的情况</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1.</w:t>
            </w:r>
            <w:r>
              <w:rPr>
                <w:rFonts w:hint="eastAsia" w:ascii="宋体" w:hAnsi="宋体" w:eastAsia="宋体" w:cs="宋体"/>
                <w:sz w:val="20"/>
                <w:szCs w:val="20"/>
                <w:bdr w:val="none" w:color="auto" w:sz="0" w:space="0"/>
              </w:rPr>
              <w:t>参加或举办新闻发布会总次数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其中：主要负责同志参加新闻发布会次数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2.</w:t>
            </w:r>
            <w:r>
              <w:rPr>
                <w:rFonts w:hint="eastAsia" w:ascii="宋体" w:hAnsi="宋体" w:eastAsia="宋体" w:cs="宋体"/>
                <w:sz w:val="20"/>
                <w:szCs w:val="20"/>
                <w:bdr w:val="none" w:color="auto" w:sz="0" w:space="0"/>
              </w:rPr>
              <w:t>政府网站在线访谈次数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其中：主要负责同志参加政府网站在线访谈次数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3.</w:t>
            </w:r>
            <w:r>
              <w:rPr>
                <w:rFonts w:hint="eastAsia" w:ascii="宋体" w:hAnsi="宋体" w:eastAsia="宋体" w:cs="宋体"/>
                <w:sz w:val="20"/>
                <w:szCs w:val="20"/>
                <w:bdr w:val="none" w:color="auto" w:sz="0" w:space="0"/>
              </w:rPr>
              <w:t>政策解读稿件发布数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篇</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4.</w:t>
            </w:r>
            <w:r>
              <w:rPr>
                <w:rFonts w:hint="eastAsia" w:ascii="宋体" w:hAnsi="宋体" w:eastAsia="宋体" w:cs="宋体"/>
                <w:sz w:val="20"/>
                <w:szCs w:val="20"/>
                <w:bdr w:val="none" w:color="auto" w:sz="0" w:space="0"/>
              </w:rPr>
              <w:t>微博微信回应事件数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5.</w:t>
            </w:r>
            <w:r>
              <w:rPr>
                <w:rFonts w:hint="eastAsia" w:ascii="宋体" w:hAnsi="宋体" w:eastAsia="宋体" w:cs="宋体"/>
                <w:sz w:val="20"/>
                <w:szCs w:val="20"/>
                <w:bdr w:val="none" w:color="auto" w:sz="0" w:space="0"/>
              </w:rPr>
              <w:t>其他方式回应事件数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三、依申请公开情况</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（一）收到申请数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1.</w:t>
            </w:r>
            <w:r>
              <w:rPr>
                <w:rFonts w:hint="eastAsia" w:ascii="宋体" w:hAnsi="宋体" w:eastAsia="宋体" w:cs="宋体"/>
                <w:sz w:val="20"/>
                <w:szCs w:val="20"/>
                <w:bdr w:val="none" w:color="auto" w:sz="0" w:space="0"/>
              </w:rPr>
              <w:t>当面申请数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2.</w:t>
            </w:r>
            <w:r>
              <w:rPr>
                <w:rFonts w:hint="eastAsia" w:ascii="宋体" w:hAnsi="宋体" w:eastAsia="宋体" w:cs="宋体"/>
                <w:sz w:val="20"/>
                <w:szCs w:val="20"/>
                <w:bdr w:val="none" w:color="auto" w:sz="0" w:space="0"/>
              </w:rPr>
              <w:t>传真申请数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3.</w:t>
            </w:r>
            <w:r>
              <w:rPr>
                <w:rFonts w:hint="eastAsia" w:ascii="宋体" w:hAnsi="宋体" w:eastAsia="宋体" w:cs="宋体"/>
                <w:sz w:val="20"/>
                <w:szCs w:val="20"/>
                <w:bdr w:val="none" w:color="auto" w:sz="0" w:space="0"/>
              </w:rPr>
              <w:t>网络申请数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4.</w:t>
            </w:r>
            <w:r>
              <w:rPr>
                <w:rFonts w:hint="eastAsia" w:ascii="宋体" w:hAnsi="宋体" w:eastAsia="宋体" w:cs="宋体"/>
                <w:sz w:val="20"/>
                <w:szCs w:val="20"/>
                <w:bdr w:val="none" w:color="auto" w:sz="0" w:space="0"/>
              </w:rPr>
              <w:t>信函申请数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（二）申请办结数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1.</w:t>
            </w:r>
            <w:r>
              <w:rPr>
                <w:rFonts w:hint="eastAsia" w:ascii="宋体" w:hAnsi="宋体" w:eastAsia="宋体" w:cs="宋体"/>
                <w:sz w:val="20"/>
                <w:szCs w:val="20"/>
                <w:bdr w:val="none" w:color="auto" w:sz="0" w:space="0"/>
              </w:rPr>
              <w:t>按时办结数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2.</w:t>
            </w:r>
            <w:r>
              <w:rPr>
                <w:rFonts w:hint="eastAsia" w:ascii="宋体" w:hAnsi="宋体" w:eastAsia="宋体" w:cs="宋体"/>
                <w:sz w:val="20"/>
                <w:szCs w:val="20"/>
                <w:bdr w:val="none" w:color="auto" w:sz="0" w:space="0"/>
              </w:rPr>
              <w:t>延期办结数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（三）申请答复数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1.</w:t>
            </w:r>
            <w:r>
              <w:rPr>
                <w:rFonts w:hint="eastAsia" w:ascii="宋体" w:hAnsi="宋体" w:eastAsia="宋体" w:cs="宋体"/>
                <w:sz w:val="20"/>
                <w:szCs w:val="20"/>
                <w:bdr w:val="none" w:color="auto" w:sz="0" w:space="0"/>
              </w:rPr>
              <w:t>属于已主动公开范围数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2.</w:t>
            </w:r>
            <w:r>
              <w:rPr>
                <w:rFonts w:hint="eastAsia" w:ascii="宋体" w:hAnsi="宋体" w:eastAsia="宋体" w:cs="宋体"/>
                <w:sz w:val="20"/>
                <w:szCs w:val="20"/>
                <w:bdr w:val="none" w:color="auto" w:sz="0" w:space="0"/>
              </w:rPr>
              <w:t>同意公开答复数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3.</w:t>
            </w:r>
            <w:r>
              <w:rPr>
                <w:rFonts w:hint="eastAsia" w:ascii="宋体" w:hAnsi="宋体" w:eastAsia="宋体" w:cs="宋体"/>
                <w:sz w:val="20"/>
                <w:szCs w:val="20"/>
                <w:bdr w:val="none" w:color="auto" w:sz="0" w:space="0"/>
              </w:rPr>
              <w:t>同意部分公开答复数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4.</w:t>
            </w:r>
            <w:r>
              <w:rPr>
                <w:rFonts w:hint="eastAsia" w:ascii="宋体" w:hAnsi="宋体" w:eastAsia="宋体" w:cs="宋体"/>
                <w:sz w:val="20"/>
                <w:szCs w:val="20"/>
                <w:bdr w:val="none" w:color="auto" w:sz="0" w:space="0"/>
              </w:rPr>
              <w:t>不同意公开答复数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其中：涉及国家秘密</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涉及商业秘密</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涉及个人隐私</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危及国家安全、公共安全、经济安全和社会稳定</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不是《条例》所指政府信息</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法律法规规定的其他情形</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5.</w:t>
            </w:r>
            <w:r>
              <w:rPr>
                <w:rFonts w:hint="eastAsia" w:ascii="宋体" w:hAnsi="宋体" w:eastAsia="宋体" w:cs="宋体"/>
                <w:sz w:val="20"/>
                <w:szCs w:val="20"/>
                <w:bdr w:val="none" w:color="auto" w:sz="0" w:space="0"/>
              </w:rPr>
              <w:t>不属于本行政机关公开数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6.</w:t>
            </w:r>
            <w:r>
              <w:rPr>
                <w:rFonts w:hint="eastAsia" w:ascii="宋体" w:hAnsi="宋体" w:eastAsia="宋体" w:cs="宋体"/>
                <w:sz w:val="20"/>
                <w:szCs w:val="20"/>
                <w:bdr w:val="none" w:color="auto" w:sz="0" w:space="0"/>
              </w:rPr>
              <w:t>申请信息不存在数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7.</w:t>
            </w:r>
            <w:r>
              <w:rPr>
                <w:rFonts w:hint="eastAsia" w:ascii="宋体" w:hAnsi="宋体" w:eastAsia="宋体" w:cs="宋体"/>
                <w:sz w:val="20"/>
                <w:szCs w:val="20"/>
                <w:bdr w:val="none" w:color="auto" w:sz="0" w:space="0"/>
              </w:rPr>
              <w:t>告知作出更改补充数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8.</w:t>
            </w:r>
            <w:r>
              <w:rPr>
                <w:rFonts w:hint="eastAsia" w:ascii="宋体" w:hAnsi="宋体" w:eastAsia="宋体" w:cs="宋体"/>
                <w:sz w:val="20"/>
                <w:szCs w:val="20"/>
                <w:bdr w:val="none" w:color="auto" w:sz="0" w:space="0"/>
              </w:rPr>
              <w:t>告知通过其他途径办理数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四、行政复议数量</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（一）维持具体行政行为数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（二）被依法纠错数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（三）其他情形数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五、行政诉讼数量</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（一）维持具体行政行为或者驳回原告诉讼请求数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（二）被依法纠错数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（三）其他情形数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六、举报投诉数量</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件</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七、依申请公开信息收取的费用</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元</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八、机构建设和保障经费情况</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（一）政府信息公开工作专门机构数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个</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（二）设置政府信息公开查阅点数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个</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（三）从事政府信息公开工作人员数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人</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1.</w:t>
            </w:r>
            <w:r>
              <w:rPr>
                <w:rFonts w:hint="eastAsia" w:ascii="宋体" w:hAnsi="宋体" w:eastAsia="宋体" w:cs="宋体"/>
                <w:sz w:val="20"/>
                <w:szCs w:val="20"/>
                <w:bdr w:val="none" w:color="auto" w:sz="0" w:space="0"/>
              </w:rPr>
              <w:t>专职人员数（不包括政府公报及政府网站工作人员数）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人</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2.</w:t>
            </w:r>
            <w:r>
              <w:rPr>
                <w:rFonts w:hint="eastAsia" w:ascii="宋体" w:hAnsi="宋体" w:eastAsia="宋体" w:cs="宋体"/>
                <w:sz w:val="20"/>
                <w:szCs w:val="20"/>
                <w:bdr w:val="none" w:color="auto" w:sz="0" w:space="0"/>
              </w:rPr>
              <w:t>兼职人员数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人</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（四）政府信息公开专项经费（不包括用于政府公报编辑管理及政府网站建设维护等方面的经费）</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元</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九、政府信息公开会议和培训情况</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jc w:val="left"/>
              <w:rPr>
                <w:sz w:val="18"/>
                <w:szCs w:val="18"/>
              </w:rPr>
            </w:pP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（一）召开政府信息公开工作会议或专题会议数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（二）举办各类培训班数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5445" w:type="dxa"/>
            <w:tcBorders>
              <w:top w:val="nil"/>
              <w:left w:val="single" w:color="auto" w:sz="8" w:space="0"/>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  </w:t>
            </w:r>
            <w:r>
              <w:rPr>
                <w:rFonts w:hint="eastAsia" w:ascii="宋体" w:hAnsi="宋体" w:eastAsia="宋体" w:cs="宋体"/>
                <w:sz w:val="20"/>
                <w:szCs w:val="20"/>
                <w:bdr w:val="none" w:color="auto" w:sz="0" w:space="0"/>
              </w:rPr>
              <w:t>（三）接受培训人员数</w:t>
            </w:r>
          </w:p>
        </w:tc>
        <w:tc>
          <w:tcPr>
            <w:tcW w:w="3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bdr w:val="none" w:color="auto" w:sz="0" w:space="0"/>
              </w:rPr>
              <w:t>人次</w:t>
            </w:r>
          </w:p>
        </w:tc>
        <w:tc>
          <w:tcPr>
            <w:tcW w:w="405" w:type="dxa"/>
            <w:tcBorders>
              <w:top w:val="nil"/>
              <w:left w:val="nil"/>
              <w:bottom w:val="single" w:color="auto" w:sz="8" w:space="0"/>
              <w:right w:val="single" w:color="auto" w:sz="8" w:space="0"/>
            </w:tcBorders>
            <w:shd w:val="clear"/>
            <w:noWrap/>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Arial" w:hAnsi="Arial" w:cs="Arial"/>
                <w:sz w:val="20"/>
                <w:szCs w:val="20"/>
                <w:bdr w:val="none" w:color="auto" w:sz="0" w:space="0"/>
              </w:rPr>
              <w:t>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0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炫    飛</cp:lastModifiedBy>
  <dcterms:modified xsi:type="dcterms:W3CDTF">2021-03-08T06:04:33Z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B529BA9DDFE14A18AE8E1AF6A8D9EEAB</vt:lpwstr>
  </property>
</Properties>
</file>