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陶然亭街道2017年政府信息公开工作年度报告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bookmarkStart w:id="0" w:name="_GoBack"/>
      <w:bookmarkEnd w:id="0"/>
      <w:r>
        <w:rPr>
          <w:rFonts w:ascii="仿宋" w:hAnsi="仿宋" w:eastAsia="仿宋" w:cs="仿宋"/>
          <w:i w:val="0"/>
          <w:iCs w:val="0"/>
          <w:caps w:val="0"/>
          <w:color w:val="000000"/>
          <w:spacing w:val="0"/>
          <w:sz w:val="32"/>
          <w:szCs w:val="32"/>
          <w:bdr w:val="none" w:color="auto" w:sz="0" w:space="0"/>
        </w:rPr>
        <w:t>2017</w:t>
      </w:r>
      <w:r>
        <w:rPr>
          <w:rFonts w:hint="eastAsia" w:ascii="仿宋" w:hAnsi="仿宋" w:eastAsia="仿宋" w:cs="仿宋"/>
          <w:i w:val="0"/>
          <w:iCs w:val="0"/>
          <w:caps w:val="0"/>
          <w:color w:val="000000"/>
          <w:spacing w:val="0"/>
          <w:sz w:val="32"/>
          <w:szCs w:val="32"/>
          <w:bdr w:val="none" w:color="auto" w:sz="0" w:space="0"/>
        </w:rPr>
        <w:t>年，在区委、区政府的正确领导下，我街道始终坚持以建设“服务型”政府，树立机关新形象为目标，以保证人民群众的民主权利，维护人民群众的根本利益为出发点和落脚点。以政务公开推进政府职能转变，进一步完善有关制度，规范政务公开内容和形式，提高行政工作的透明度，拓展政务公开的范围，以求真务实精神，深入推行政务公开工作。把政务公开工作作为加强党风廉政建设，转变工作作风，狠抓工作落实的重要举措，以公开促工作，以公开树形象，以公开赢民心，收到了良好的社会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Style w:val="5"/>
          <w:rFonts w:ascii="黑体" w:hAnsi="宋体" w:eastAsia="黑体" w:cs="黑体"/>
          <w:i w:val="0"/>
          <w:iCs w:val="0"/>
          <w:caps w:val="0"/>
          <w:color w:val="000000"/>
          <w:spacing w:val="0"/>
          <w:sz w:val="32"/>
          <w:szCs w:val="32"/>
          <w:bdr w:val="none" w:color="auto" w:sz="0" w:space="0"/>
        </w:rPr>
        <w:t>一、重点工作情况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sz w:val="21"/>
          <w:szCs w:val="21"/>
        </w:rPr>
      </w:pPr>
      <w:r>
        <w:rPr>
          <w:rFonts w:ascii="serif" w:hAnsi="Calibri" w:eastAsia="serif" w:cs="serif"/>
          <w:i w:val="0"/>
          <w:iCs w:val="0"/>
          <w:caps w:val="0"/>
          <w:color w:val="000000"/>
          <w:spacing w:val="0"/>
          <w:sz w:val="32"/>
          <w:szCs w:val="32"/>
          <w:bdr w:val="none" w:color="auto" w:sz="0" w:space="0"/>
          <w:shd w:val="clear" w:fill="FFFFFF"/>
        </w:rPr>
        <w:t>（一）加强组织领导，完善机制抓管理。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   </w:t>
      </w:r>
      <w:r>
        <w:rPr>
          <w:rStyle w:val="5"/>
          <w:rFonts w:hint="eastAsia" w:ascii="仿宋" w:hAnsi="仿宋" w:eastAsia="仿宋" w:cs="仿宋"/>
          <w:i w:val="0"/>
          <w:iCs w:val="0"/>
          <w:caps w:val="0"/>
          <w:color w:val="000000"/>
          <w:spacing w:val="0"/>
          <w:sz w:val="32"/>
          <w:szCs w:val="32"/>
          <w:bdr w:val="none" w:color="auto" w:sz="0" w:space="0"/>
        </w:rPr>
        <w:t> 一是不断完善组织机构。</w:t>
      </w:r>
      <w:r>
        <w:rPr>
          <w:rFonts w:hint="eastAsia" w:ascii="仿宋" w:hAnsi="仿宋" w:eastAsia="仿宋" w:cs="仿宋"/>
          <w:i w:val="0"/>
          <w:iCs w:val="0"/>
          <w:caps w:val="0"/>
          <w:color w:val="000000"/>
          <w:spacing w:val="0"/>
          <w:sz w:val="32"/>
          <w:szCs w:val="32"/>
          <w:bdr w:val="none" w:color="auto" w:sz="0" w:space="0"/>
        </w:rPr>
        <w:t>更新健全领导机构。建立了“主要领导亲自抓、分管领导具体抓，街道办公室统筹协调、各科室分工落实”的工作机制。主要领导多次主持主任办公会议听取政务公开工作汇报，研究部署推进政务公开各项工作；分管领导多次专题研究网站建设、信息报送等工作，明确信息公开工作具体要求。街道办公室负责政府信息公开工作的日常管理和统筹协调，各科室负责本部门所掌握信息的主动公开并配合依申请公开相关工作。明确各科室1名工作人员专人负责信息公开工作，组建政府信息公开工作队伍，确保主动公开及时高效，依申请公开办理便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    </w:t>
      </w:r>
      <w:r>
        <w:rPr>
          <w:rStyle w:val="5"/>
          <w:rFonts w:hint="eastAsia" w:ascii="仿宋" w:hAnsi="仿宋" w:eastAsia="仿宋" w:cs="仿宋"/>
          <w:i w:val="0"/>
          <w:iCs w:val="0"/>
          <w:caps w:val="0"/>
          <w:color w:val="000000"/>
          <w:spacing w:val="0"/>
          <w:sz w:val="32"/>
          <w:szCs w:val="32"/>
          <w:bdr w:val="none" w:color="auto" w:sz="0" w:space="0"/>
        </w:rPr>
        <w:t>二是不断完善制度建设。</w:t>
      </w:r>
      <w:r>
        <w:rPr>
          <w:rFonts w:hint="eastAsia" w:ascii="仿宋" w:hAnsi="仿宋" w:eastAsia="仿宋" w:cs="仿宋"/>
          <w:i w:val="0"/>
          <w:iCs w:val="0"/>
          <w:caps w:val="0"/>
          <w:color w:val="000000"/>
          <w:spacing w:val="0"/>
          <w:sz w:val="32"/>
          <w:szCs w:val="32"/>
          <w:bdr w:val="none" w:color="auto" w:sz="0" w:space="0"/>
        </w:rPr>
        <w:t>主动公开方面完善了《陶然亭街道邀请特定人员列席主任办公会办法》、《陶然亭街道社区代表会议议事规则》等。依申请公开的方面规范了《陶然亭街道政府信息公开指南》等相关配套制度，还进行了全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2"/>
          <w:szCs w:val="32"/>
          <w:bdr w:val="none" w:color="auto" w:sz="0" w:space="0"/>
          <w:shd w:val="clear" w:fill="FFFFFF"/>
        </w:rPr>
        <w:t>三是不断完善公开机制。</w:t>
      </w:r>
      <w:r>
        <w:rPr>
          <w:rFonts w:hint="eastAsia" w:ascii="仿宋" w:hAnsi="仿宋" w:eastAsia="仿宋" w:cs="仿宋"/>
          <w:i w:val="0"/>
          <w:iCs w:val="0"/>
          <w:caps w:val="0"/>
          <w:color w:val="000000"/>
          <w:spacing w:val="0"/>
          <w:sz w:val="32"/>
          <w:szCs w:val="32"/>
          <w:bdr w:val="none" w:color="auto" w:sz="0" w:space="0"/>
          <w:shd w:val="clear" w:fill="FFFFFF"/>
        </w:rPr>
        <w:t>街道在建立健全政府信息公开工作机制上不断完善，明确政府信息公开工作是办事处各科室的职责，实行全员责任制；完善公开的职责、程序、公开方式和时限要求；制定了《陶然亭街道政府信息公开属性源头管理办法（试行）》，信息起草科室负责确定信息的公开属性，并填报《西城区政府信息发布保密审查单》或发文稿纸。街道保密审查领导小组（设在街道办公室）进行保密审查，按程序逐级进行报批；完善依申请公开工作规程，明确受理、审查、处理、答复、归档等各环节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shd w:val="clear" w:fill="FFFFFF"/>
        </w:rPr>
        <w:t>（二）拓宽公开渠道，丰富载体抓质量。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shd w:val="clear" w:fill="FFFFFF"/>
        </w:rPr>
        <w:t>利用当前多种新闻媒体平台，使公众多渠道知悉政府公开信息。充分发挥陶然亭街道办事处网站和西城区政府信息公开专栏作用，进一步拓展微信、报刊等政务信息发布和交流平台，同步把好信息质量关，为促进依法行政、打造阳光陶然打下坚实基础。</w:t>
      </w:r>
      <w:r>
        <w:rPr>
          <w:rStyle w:val="5"/>
          <w:rFonts w:hint="eastAsia" w:ascii="仿宋" w:hAnsi="仿宋" w:eastAsia="仿宋" w:cs="仿宋"/>
          <w:i w:val="0"/>
          <w:iCs w:val="0"/>
          <w:caps w:val="0"/>
          <w:color w:val="000000"/>
          <w:spacing w:val="0"/>
          <w:sz w:val="32"/>
          <w:szCs w:val="32"/>
          <w:bdr w:val="none" w:color="auto" w:sz="0" w:space="0"/>
          <w:shd w:val="clear" w:fill="FFFFFF"/>
        </w:rPr>
        <w:t>一是</w:t>
      </w:r>
      <w:r>
        <w:rPr>
          <w:rFonts w:hint="eastAsia" w:ascii="仿宋" w:hAnsi="仿宋" w:eastAsia="仿宋" w:cs="仿宋"/>
          <w:i w:val="0"/>
          <w:iCs w:val="0"/>
          <w:caps w:val="0"/>
          <w:color w:val="000000"/>
          <w:spacing w:val="0"/>
          <w:sz w:val="32"/>
          <w:szCs w:val="32"/>
          <w:bdr w:val="none" w:color="auto" w:sz="0" w:space="0"/>
          <w:shd w:val="clear" w:fill="FFFFFF"/>
        </w:rPr>
        <w:t>对照区政府考核要求和信息公开规定，梳理更新政府信息公开目录，调整版块设置、内容构成，明确各科室的责任分工及内容报送要求、更新时限等。督促科室及时准确公开政府信息。</w:t>
      </w:r>
      <w:r>
        <w:rPr>
          <w:rStyle w:val="5"/>
          <w:rFonts w:hint="eastAsia" w:ascii="仿宋" w:hAnsi="仿宋" w:eastAsia="仿宋" w:cs="仿宋"/>
          <w:i w:val="0"/>
          <w:iCs w:val="0"/>
          <w:caps w:val="0"/>
          <w:color w:val="000000"/>
          <w:spacing w:val="0"/>
          <w:sz w:val="32"/>
          <w:szCs w:val="32"/>
          <w:bdr w:val="none" w:color="auto" w:sz="0" w:space="0"/>
          <w:shd w:val="clear" w:fill="FFFFFF"/>
        </w:rPr>
        <w:t>二是</w:t>
      </w:r>
      <w:r>
        <w:rPr>
          <w:rFonts w:hint="eastAsia" w:ascii="仿宋" w:hAnsi="仿宋" w:eastAsia="仿宋" w:cs="仿宋"/>
          <w:i w:val="0"/>
          <w:iCs w:val="0"/>
          <w:caps w:val="0"/>
          <w:color w:val="000000"/>
          <w:spacing w:val="0"/>
          <w:sz w:val="32"/>
          <w:szCs w:val="32"/>
          <w:bdr w:val="none" w:color="auto" w:sz="0" w:space="0"/>
          <w:shd w:val="clear" w:fill="FFFFFF"/>
        </w:rPr>
        <w:t>积极探索利用新媒体。继续发挥 “京华陶然”微信公众号的宣传作用，每周推送3-4篇原创信息，通过微信公众平台与居民互动沟通，了解居民当下的需求以及对街道工作的真实评价。</w:t>
      </w:r>
      <w:r>
        <w:rPr>
          <w:rStyle w:val="5"/>
          <w:rFonts w:hint="eastAsia" w:ascii="仿宋" w:hAnsi="仿宋" w:eastAsia="仿宋" w:cs="仿宋"/>
          <w:i w:val="0"/>
          <w:iCs w:val="0"/>
          <w:caps w:val="0"/>
          <w:color w:val="000000"/>
          <w:spacing w:val="0"/>
          <w:sz w:val="32"/>
          <w:szCs w:val="32"/>
          <w:bdr w:val="none" w:color="auto" w:sz="0" w:space="0"/>
          <w:shd w:val="clear" w:fill="FFFFFF"/>
        </w:rPr>
        <w:t>三是</w:t>
      </w:r>
      <w:r>
        <w:rPr>
          <w:rFonts w:hint="eastAsia" w:ascii="仿宋" w:hAnsi="仿宋" w:eastAsia="仿宋" w:cs="仿宋"/>
          <w:i w:val="0"/>
          <w:iCs w:val="0"/>
          <w:caps w:val="0"/>
          <w:color w:val="000000"/>
          <w:spacing w:val="0"/>
          <w:sz w:val="32"/>
          <w:szCs w:val="32"/>
          <w:bdr w:val="none" w:color="auto" w:sz="0" w:space="0"/>
          <w:shd w:val="clear" w:fill="FFFFFF"/>
        </w:rPr>
        <w:t>充分发挥主流媒体宣传作用。利用《陶然之窗》传统报刊宣传媒介，根据街道重点工作，精心策划了疏解政治促提升、背街小巷治理、学习贯彻宣传十九大精神等专题版面，开设了随手拍文明、邻里留言板、陶然志愿者·发现者联盟、安全社区你我共建等栏目，积极发动居民参与地区公共事务，树立陶然榜样，营造互助和谐的社区氛围，引导居民为共建陶然式美好生活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640"/>
        <w:jc w:val="left"/>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shd w:val="clear" w:fill="FFFFFF"/>
        </w:rPr>
        <w:t>（三）建立培训机制，加强宣传抓落实。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800"/>
        <w:jc w:val="left"/>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shd w:val="clear" w:fill="FFFFFF"/>
        </w:rPr>
        <w:t>2017年，我街道于8月、9月举办了2次政府信息与政务公开工作培训会，街道党工委、街道办事处各科部室50余名干部参加了培训活动。邀请了政务公开第三方专家对我街道政务公开清单的编制工作，进行了细致的指导，并现场解答各科室针对清单编制中的问题。进一步规范了街道政务公开清单，促进了科室政务公开的主动性和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Style w:val="5"/>
          <w:rFonts w:hint="eastAsia" w:ascii="黑体" w:hAnsi="宋体" w:eastAsia="黑体" w:cs="黑体"/>
          <w:i w:val="0"/>
          <w:iCs w:val="0"/>
          <w:caps w:val="0"/>
          <w:color w:val="000000"/>
          <w:spacing w:val="0"/>
          <w:sz w:val="32"/>
          <w:szCs w:val="32"/>
          <w:bdr w:val="none" w:color="auto" w:sz="0" w:space="0"/>
        </w:rPr>
        <w:t>二、重点领域信息公开情况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shd w:val="clear" w:fill="FFFFFF"/>
        </w:rPr>
        <w:t>（一）以政务公开助力促改革、强管理。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Style w:val="5"/>
          <w:rFonts w:hint="eastAsia" w:ascii="仿宋" w:hAnsi="仿宋" w:eastAsia="仿宋" w:cs="仿宋"/>
          <w:i w:val="0"/>
          <w:iCs w:val="0"/>
          <w:caps w:val="0"/>
          <w:color w:val="000000"/>
          <w:spacing w:val="0"/>
          <w:sz w:val="32"/>
          <w:szCs w:val="32"/>
          <w:bdr w:val="none" w:color="auto" w:sz="0" w:space="0"/>
        </w:rPr>
        <w:t>第一，</w:t>
      </w:r>
      <w:r>
        <w:rPr>
          <w:rFonts w:hint="eastAsia" w:ascii="仿宋" w:hAnsi="仿宋" w:eastAsia="仿宋" w:cs="仿宋"/>
          <w:i w:val="0"/>
          <w:iCs w:val="0"/>
          <w:caps w:val="0"/>
          <w:color w:val="000000"/>
          <w:spacing w:val="0"/>
          <w:sz w:val="32"/>
          <w:szCs w:val="32"/>
          <w:bdr w:val="none" w:color="auto" w:sz="0" w:space="0"/>
        </w:rPr>
        <w:t>积极梳理街道政务公开重点领域清单和街道拓展清单，拓宽政务公开领域，丰富政务公开内容，进一步规范行政权力运行，努力营造高效、透明、规范的政务环境。</w:t>
      </w:r>
      <w:r>
        <w:rPr>
          <w:rStyle w:val="5"/>
          <w:rFonts w:hint="eastAsia" w:ascii="仿宋" w:hAnsi="仿宋" w:eastAsia="仿宋" w:cs="仿宋"/>
          <w:i w:val="0"/>
          <w:iCs w:val="0"/>
          <w:caps w:val="0"/>
          <w:color w:val="000000"/>
          <w:spacing w:val="0"/>
          <w:sz w:val="32"/>
          <w:szCs w:val="32"/>
          <w:bdr w:val="none" w:color="auto" w:sz="0" w:space="0"/>
        </w:rPr>
        <w:t>第二，</w:t>
      </w:r>
      <w:r>
        <w:rPr>
          <w:rFonts w:hint="eastAsia" w:ascii="仿宋" w:hAnsi="仿宋" w:eastAsia="仿宋" w:cs="仿宋"/>
          <w:i w:val="0"/>
          <w:iCs w:val="0"/>
          <w:caps w:val="0"/>
          <w:color w:val="000000"/>
          <w:spacing w:val="0"/>
          <w:sz w:val="32"/>
          <w:szCs w:val="32"/>
          <w:bdr w:val="none" w:color="auto" w:sz="0" w:space="0"/>
        </w:rPr>
        <w:t>扎实推进重点领域政务公开工作，在全面清理、规范并公布政府各种事项办理的基础上，积极推进机关内部事务公开，完善对权力运行的内部监督，加强对关键岗位和重点环节权利运行的监控。</w:t>
      </w:r>
      <w:r>
        <w:rPr>
          <w:rStyle w:val="5"/>
          <w:rFonts w:hint="eastAsia" w:ascii="仿宋" w:hAnsi="仿宋" w:eastAsia="仿宋" w:cs="仿宋"/>
          <w:i w:val="0"/>
          <w:iCs w:val="0"/>
          <w:caps w:val="0"/>
          <w:color w:val="000000"/>
          <w:spacing w:val="0"/>
          <w:sz w:val="32"/>
          <w:szCs w:val="32"/>
          <w:bdr w:val="none" w:color="auto" w:sz="0" w:space="0"/>
        </w:rPr>
        <w:t>第三，</w:t>
      </w:r>
      <w:r>
        <w:rPr>
          <w:rFonts w:hint="eastAsia" w:ascii="仿宋" w:hAnsi="仿宋" w:eastAsia="仿宋" w:cs="仿宋"/>
          <w:i w:val="0"/>
          <w:iCs w:val="0"/>
          <w:caps w:val="0"/>
          <w:color w:val="000000"/>
          <w:spacing w:val="0"/>
          <w:sz w:val="32"/>
          <w:szCs w:val="32"/>
          <w:bdr w:val="none" w:color="auto" w:sz="0" w:space="0"/>
        </w:rPr>
        <w:t>加强对科室政务公开工作的指导和检查，各科室按照各自政务公开职责和规定流程，及时、准确、全面公开本部门工作动态和其他依法应当公开的政务信息。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shd w:val="clear" w:fill="FFFFFF"/>
        </w:rPr>
        <w:t>（二）以政务公开助力民生改善。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Style w:val="5"/>
          <w:rFonts w:hint="eastAsia" w:ascii="仿宋" w:hAnsi="仿宋" w:eastAsia="仿宋" w:cs="仿宋"/>
          <w:i w:val="0"/>
          <w:iCs w:val="0"/>
          <w:caps w:val="0"/>
          <w:color w:val="000000"/>
          <w:spacing w:val="0"/>
          <w:sz w:val="32"/>
          <w:szCs w:val="32"/>
          <w:bdr w:val="none" w:color="auto" w:sz="0" w:space="0"/>
        </w:rPr>
        <w:t>第一，</w:t>
      </w:r>
      <w:r>
        <w:rPr>
          <w:rFonts w:hint="eastAsia" w:ascii="仿宋" w:hAnsi="仿宋" w:eastAsia="仿宋" w:cs="仿宋"/>
          <w:i w:val="0"/>
          <w:iCs w:val="0"/>
          <w:caps w:val="0"/>
          <w:color w:val="000000"/>
          <w:spacing w:val="0"/>
          <w:sz w:val="32"/>
          <w:szCs w:val="32"/>
          <w:bdr w:val="none" w:color="auto" w:sz="0" w:space="0"/>
        </w:rPr>
        <w:t>推进街巷治理信息公开。在街道网站和政务公开专栏积极公开背街小巷整治成果，让辖区居民切实感受到背街小巷的变化。</w:t>
      </w:r>
      <w:r>
        <w:rPr>
          <w:rStyle w:val="5"/>
          <w:rFonts w:hint="eastAsia" w:ascii="仿宋" w:hAnsi="仿宋" w:eastAsia="仿宋" w:cs="仿宋"/>
          <w:i w:val="0"/>
          <w:iCs w:val="0"/>
          <w:caps w:val="0"/>
          <w:color w:val="000000"/>
          <w:spacing w:val="0"/>
          <w:sz w:val="32"/>
          <w:szCs w:val="32"/>
          <w:bdr w:val="none" w:color="auto" w:sz="0" w:space="0"/>
        </w:rPr>
        <w:t>第二，</w:t>
      </w:r>
      <w:r>
        <w:rPr>
          <w:rFonts w:hint="eastAsia" w:ascii="仿宋" w:hAnsi="仿宋" w:eastAsia="仿宋" w:cs="仿宋"/>
          <w:i w:val="0"/>
          <w:iCs w:val="0"/>
          <w:caps w:val="0"/>
          <w:color w:val="000000"/>
          <w:spacing w:val="0"/>
          <w:sz w:val="32"/>
          <w:szCs w:val="32"/>
          <w:bdr w:val="none" w:color="auto" w:sz="0" w:space="0"/>
        </w:rPr>
        <w:t>推进辖区安全信息公开。在街道网站设立平安建设专栏，加强辖区安全建设以及安全常识信息公开，提高辖区居民安全意识，维护辖区安全稳定。</w:t>
      </w:r>
      <w:r>
        <w:rPr>
          <w:rStyle w:val="5"/>
          <w:rFonts w:hint="eastAsia" w:ascii="仿宋" w:hAnsi="仿宋" w:eastAsia="仿宋" w:cs="仿宋"/>
          <w:i w:val="0"/>
          <w:iCs w:val="0"/>
          <w:caps w:val="0"/>
          <w:color w:val="000000"/>
          <w:spacing w:val="0"/>
          <w:sz w:val="32"/>
          <w:szCs w:val="32"/>
          <w:bdr w:val="none" w:color="auto" w:sz="0" w:space="0"/>
        </w:rPr>
        <w:t>第三，</w:t>
      </w:r>
      <w:r>
        <w:rPr>
          <w:rFonts w:hint="eastAsia" w:ascii="仿宋" w:hAnsi="仿宋" w:eastAsia="仿宋" w:cs="仿宋"/>
          <w:i w:val="0"/>
          <w:iCs w:val="0"/>
          <w:caps w:val="0"/>
          <w:color w:val="000000"/>
          <w:spacing w:val="0"/>
          <w:sz w:val="32"/>
          <w:szCs w:val="32"/>
          <w:bdr w:val="none" w:color="auto" w:sz="0" w:space="0"/>
        </w:rPr>
        <w:t>推进社区建设信息公开。拓宽公开渠道，组织辖区居民参观养老驿站，解答居民对养老驿站运营方式、收费标准等各方面问题。召开社区代表大会，充分征询辖区居民代表对街道各方面工作的意见建议。</w:t>
      </w:r>
      <w:r>
        <w:rPr>
          <w:rStyle w:val="5"/>
          <w:rFonts w:hint="eastAsia" w:ascii="仿宋" w:hAnsi="仿宋" w:eastAsia="仿宋" w:cs="仿宋"/>
          <w:i w:val="0"/>
          <w:iCs w:val="0"/>
          <w:caps w:val="0"/>
          <w:color w:val="000000"/>
          <w:spacing w:val="0"/>
          <w:sz w:val="32"/>
          <w:szCs w:val="32"/>
          <w:bdr w:val="none" w:color="auto" w:sz="0" w:space="0"/>
        </w:rPr>
        <w:t>第四，</w:t>
      </w:r>
      <w:r>
        <w:rPr>
          <w:rFonts w:hint="eastAsia" w:ascii="仿宋" w:hAnsi="仿宋" w:eastAsia="仿宋" w:cs="仿宋"/>
          <w:i w:val="0"/>
          <w:iCs w:val="0"/>
          <w:caps w:val="0"/>
          <w:color w:val="000000"/>
          <w:spacing w:val="0"/>
          <w:sz w:val="32"/>
          <w:szCs w:val="32"/>
          <w:bdr w:val="none" w:color="auto" w:sz="0" w:space="0"/>
        </w:rPr>
        <w:t>推进社会保障信息公开</w:t>
      </w:r>
      <w:r>
        <w:rPr>
          <w:rStyle w:val="5"/>
          <w:rFonts w:hint="eastAsia" w:ascii="仿宋" w:hAnsi="仿宋" w:eastAsia="仿宋" w:cs="仿宋"/>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按月公开低保对象相关信息，方便社会公众查询和监督。</w:t>
      </w:r>
      <w:r>
        <w:rPr>
          <w:rStyle w:val="5"/>
          <w:rFonts w:hint="eastAsia" w:ascii="仿宋" w:hAnsi="仿宋" w:eastAsia="仿宋" w:cs="仿宋"/>
          <w:i w:val="0"/>
          <w:iCs w:val="0"/>
          <w:caps w:val="0"/>
          <w:color w:val="000000"/>
          <w:spacing w:val="0"/>
          <w:sz w:val="32"/>
          <w:szCs w:val="32"/>
          <w:bdr w:val="none" w:color="auto" w:sz="0" w:space="0"/>
        </w:rPr>
        <w:t>第五，</w:t>
      </w:r>
      <w:r>
        <w:rPr>
          <w:rFonts w:hint="eastAsia" w:ascii="仿宋" w:hAnsi="仿宋" w:eastAsia="仿宋" w:cs="仿宋"/>
          <w:i w:val="0"/>
          <w:iCs w:val="0"/>
          <w:caps w:val="0"/>
          <w:color w:val="000000"/>
          <w:spacing w:val="0"/>
          <w:sz w:val="32"/>
          <w:szCs w:val="32"/>
          <w:bdr w:val="none" w:color="auto" w:sz="0" w:space="0"/>
        </w:rPr>
        <w:t>推进公共服务信息公开。公布街道各科部室便民电话，积极宣传街道为辖区居民提供的如义务理发、绿植栽培讲解等便民服务。及时公开公共服务信息，包括各项社会保险参保和收支等社会保险信息，救助对象人数、救助标准、补助水平等社会救助信息，医疗机构信息公开目录和医疗服务、价格等医疗卫生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serif" w:hAnsi="Calibri" w:eastAsia="serif" w:cs="serif"/>
          <w:i w:val="0"/>
          <w:iCs w:val="0"/>
          <w:caps w:val="0"/>
          <w:color w:val="040404"/>
          <w:spacing w:val="0"/>
          <w:sz w:val="32"/>
          <w:szCs w:val="32"/>
          <w:bdr w:val="none" w:color="auto" w:sz="0" w:space="0"/>
        </w:rPr>
        <w:t>（三）以政务公开助力政府建设。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03"/>
        <w:jc w:val="both"/>
        <w:rPr>
          <w:rFonts w:hint="default" w:ascii="Calibri" w:hAnsi="Calibri" w:cs="Calibri"/>
          <w:sz w:val="21"/>
          <w:szCs w:val="21"/>
        </w:rPr>
      </w:pPr>
      <w:r>
        <w:rPr>
          <w:rStyle w:val="5"/>
          <w:rFonts w:hint="eastAsia" w:ascii="仿宋" w:hAnsi="仿宋" w:eastAsia="仿宋" w:cs="仿宋"/>
          <w:i w:val="0"/>
          <w:iCs w:val="0"/>
          <w:caps w:val="0"/>
          <w:color w:val="000000"/>
          <w:spacing w:val="0"/>
          <w:sz w:val="32"/>
          <w:szCs w:val="32"/>
          <w:bdr w:val="none" w:color="auto" w:sz="0" w:space="0"/>
        </w:rPr>
        <w:t>第一，</w:t>
      </w:r>
      <w:r>
        <w:rPr>
          <w:rFonts w:hint="eastAsia" w:ascii="仿宋" w:hAnsi="仿宋" w:eastAsia="仿宋" w:cs="仿宋"/>
          <w:i w:val="0"/>
          <w:iCs w:val="0"/>
          <w:caps w:val="0"/>
          <w:color w:val="000000"/>
          <w:spacing w:val="0"/>
          <w:sz w:val="32"/>
          <w:szCs w:val="32"/>
          <w:bdr w:val="none" w:color="auto" w:sz="0" w:space="0"/>
        </w:rPr>
        <w:t>积极落实会议开放制度。将推进会议开放作为决策公开的重要抓手，邀请人大代表、政协委员参加主任办公会，提高群众了解、参与政府管理和服务的主动性和积极性。广泛倾听民意，打造公开透明政府，使政民互动常态化和良性化。</w:t>
      </w:r>
      <w:r>
        <w:rPr>
          <w:rStyle w:val="5"/>
          <w:rFonts w:hint="eastAsia" w:ascii="仿宋" w:hAnsi="仿宋" w:eastAsia="仿宋" w:cs="仿宋"/>
          <w:i w:val="0"/>
          <w:iCs w:val="0"/>
          <w:caps w:val="0"/>
          <w:color w:val="000000"/>
          <w:spacing w:val="0"/>
          <w:sz w:val="32"/>
          <w:szCs w:val="32"/>
          <w:bdr w:val="none" w:color="auto" w:sz="0" w:space="0"/>
        </w:rPr>
        <w:t>第二，</w:t>
      </w:r>
      <w:r>
        <w:rPr>
          <w:rFonts w:hint="eastAsia" w:ascii="仿宋" w:hAnsi="仿宋" w:eastAsia="仿宋" w:cs="仿宋"/>
          <w:i w:val="0"/>
          <w:iCs w:val="0"/>
          <w:caps w:val="0"/>
          <w:color w:val="000000"/>
          <w:spacing w:val="0"/>
          <w:sz w:val="32"/>
          <w:szCs w:val="32"/>
          <w:bdr w:val="none" w:color="auto" w:sz="0" w:space="0"/>
        </w:rPr>
        <w:t>继续推进重大决策预公开</w:t>
      </w:r>
      <w:r>
        <w:rPr>
          <w:rStyle w:val="5"/>
          <w:rFonts w:hint="eastAsia" w:ascii="仿宋" w:hAnsi="仿宋" w:eastAsia="仿宋" w:cs="仿宋"/>
          <w:i w:val="0"/>
          <w:iCs w:val="0"/>
          <w:caps w:val="0"/>
          <w:color w:val="000000"/>
          <w:spacing w:val="0"/>
          <w:sz w:val="32"/>
          <w:szCs w:val="32"/>
          <w:bdr w:val="none" w:color="auto" w:sz="0" w:space="0"/>
        </w:rPr>
        <w:t>。</w:t>
      </w:r>
      <w:r>
        <w:rPr>
          <w:rFonts w:hint="eastAsia" w:ascii="仿宋" w:hAnsi="仿宋" w:eastAsia="仿宋" w:cs="仿宋"/>
          <w:i w:val="0"/>
          <w:iCs w:val="0"/>
          <w:caps w:val="0"/>
          <w:color w:val="000000"/>
          <w:spacing w:val="0"/>
          <w:sz w:val="32"/>
          <w:szCs w:val="32"/>
          <w:bdr w:val="none" w:color="auto" w:sz="0" w:space="0"/>
        </w:rPr>
        <w:t>建立重大行政决策预公开机制，对提交市、区政府常务会议审议的涉及群众切身利益、需要社会广泛知晓的重要改革方案、重要政策措施、重大建设项目等重大行政决策事项，在决策前向社会公开决策草案、决策依据，并以适当方式公布公众意见收集采纳情况。社会关注度较高的决策事项，在形成正式文件前，均向社会公开相关信息，征集公众意见建议，并反馈意见采纳情况。</w:t>
      </w:r>
      <w:r>
        <w:rPr>
          <w:rStyle w:val="5"/>
          <w:rFonts w:hint="eastAsia" w:ascii="仿宋" w:hAnsi="仿宋" w:eastAsia="仿宋" w:cs="仿宋"/>
          <w:i w:val="0"/>
          <w:iCs w:val="0"/>
          <w:caps w:val="0"/>
          <w:color w:val="000000"/>
          <w:spacing w:val="0"/>
          <w:sz w:val="32"/>
          <w:szCs w:val="32"/>
          <w:bdr w:val="none" w:color="auto" w:sz="0" w:space="0"/>
        </w:rPr>
        <w:t>第三，</w:t>
      </w:r>
      <w:r>
        <w:rPr>
          <w:rFonts w:hint="eastAsia" w:ascii="仿宋" w:hAnsi="仿宋" w:eastAsia="仿宋" w:cs="仿宋"/>
          <w:i w:val="0"/>
          <w:iCs w:val="0"/>
          <w:caps w:val="0"/>
          <w:color w:val="000000"/>
          <w:spacing w:val="0"/>
          <w:sz w:val="32"/>
          <w:szCs w:val="32"/>
          <w:bdr w:val="none" w:color="auto" w:sz="0" w:space="0"/>
        </w:rPr>
        <w:t>落实重大民生决策事项民意调查制度。本年度通过民意立项，启动并完成了福州馆社区活动中心的建设，较好的解决了社区居民公共活动区域少的问题。</w:t>
      </w:r>
      <w:r>
        <w:rPr>
          <w:rStyle w:val="5"/>
          <w:rFonts w:hint="eastAsia" w:ascii="仿宋" w:hAnsi="仿宋" w:eastAsia="仿宋" w:cs="仿宋"/>
          <w:i w:val="0"/>
          <w:iCs w:val="0"/>
          <w:caps w:val="0"/>
          <w:color w:val="000000"/>
          <w:spacing w:val="0"/>
          <w:sz w:val="32"/>
          <w:szCs w:val="32"/>
          <w:bdr w:val="none" w:color="auto" w:sz="0" w:space="0"/>
        </w:rPr>
        <w:t>第四，</w:t>
      </w:r>
      <w:r>
        <w:rPr>
          <w:rFonts w:hint="eastAsia" w:ascii="仿宋" w:hAnsi="仿宋" w:eastAsia="仿宋" w:cs="仿宋"/>
          <w:i w:val="0"/>
          <w:iCs w:val="0"/>
          <w:caps w:val="0"/>
          <w:color w:val="000000"/>
          <w:spacing w:val="0"/>
          <w:sz w:val="32"/>
          <w:szCs w:val="32"/>
          <w:bdr w:val="none" w:color="auto" w:sz="0" w:space="0"/>
        </w:rPr>
        <w:t>推进财政预决算信息公开。2017年街道预决算和社区服务中心、社保所预决算均已全部公开。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03"/>
        <w:jc w:val="both"/>
        <w:rPr>
          <w:rFonts w:hint="default" w:ascii="Calibri" w:hAnsi="Calibri" w:cs="Calibri"/>
          <w:sz w:val="21"/>
          <w:szCs w:val="21"/>
        </w:rPr>
      </w:pPr>
      <w:r>
        <w:rPr>
          <w:rStyle w:val="5"/>
          <w:rFonts w:hint="eastAsia" w:ascii="黑体" w:hAnsi="宋体" w:eastAsia="黑体" w:cs="黑体"/>
          <w:i w:val="0"/>
          <w:iCs w:val="0"/>
          <w:caps w:val="0"/>
          <w:color w:val="000000"/>
          <w:spacing w:val="0"/>
          <w:sz w:val="32"/>
          <w:szCs w:val="32"/>
          <w:bdr w:val="none" w:color="auto" w:sz="0" w:space="0"/>
        </w:rPr>
        <w:t>三、信息公开数据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根据《条例》要求，2008年5月1日起本单位开始开展政府信息公开工作。为此，配备1名全职工作人员，0名兼职工作人员，设立了1个专门的信息申请受理点，并开辟了公共查阅点。截至2017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本单位2017年共主动公开政府信息975条，其中全文电子化率达100%。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在主动公开的信息中，法规文件类信息2条，占总体的比例为0.2%；规划计划类信息4条，占总体的比例为0.4%；业务动态类信息969条，占总体的比例为99.4%。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本单位2017年度共收到政府信息公开申请3件。其中，通过互联网提交申请有2件，占总数的67%；以信函形式申请1件，占总数的33%。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在已经答复的3件申请中：“同意部分公开”的1件，占总数33%；“非本单位掌握”的1件，占总数的33％；“申请内容不明确”的1件，占总数的34％。申请数量居前的事项为民生领域相关事项。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（三）政府信息公开的收费以及免除费用的情况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按照市财政局、市发展改革委《关于清理规范一批行政事业性收费有关政策的通知》（京财综﹝2017﹞569号）要求，自2017年4月1日起，街道已停止收取依申请公开政府信息费用。截至2017年3月31日，街道按照《北京市行政机关依申请提供政府公开信息收费办法(试行)》规定，对依申请提供政府信息收取检索、复制、邮寄等费用共计0元。对农村五保供养对象、城乡居民最低生活保障对象、领取国家抚恤补助的优抚对象，依法免收相关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rPr>
        <w:t>（四）咨询情况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2017年，本单位共接受公民、法人及其他组织政府信息公开方面的咨询964人次。其中，现场咨询222人次，占总数的23%；电话咨询742人次，占总数的77%。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rPr>
        <w:t>（五）行政复议、诉讼及举报情况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2017年，未收到针对本单位政府信息公开的行政复议申请、行政诉讼案以及针对本单位政府信息公开的申诉案。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rPr>
        <w:t>（六）保障培训情况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积极参加区政府组织的政府信息与政务公开培训、依申请公开工作座谈会，提高政务公开专业化水平；邀请外部专家为街道各科部室干部进行政务公开清单的编制培训，进一步规范了街道政务公开清单，促进了科室政务公开的主动性和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rPr>
        <w:t>（七）人大代表建议和政协委员提案办理结果公开情况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2017年，陶然亭街道办事处接到市政协提案1件，其中主办0件，会办1件，已于2017年4月17日答复完毕；接到区人大代表建议2件，其中主办0件，会办2件，均在2017年4月21日前答复完毕；接到区政协提案11件，其中主办1件，会办10件，主办件已于2017年6月20日前答复完毕，会办件已于2017年4月21日前答复完毕。主办件和会办件由区政府统一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Style w:val="5"/>
          <w:rFonts w:hint="eastAsia" w:ascii="仿宋" w:hAnsi="仿宋" w:eastAsia="仿宋" w:cs="仿宋"/>
          <w:i w:val="0"/>
          <w:iCs w:val="0"/>
          <w:caps w:val="0"/>
          <w:color w:val="000000"/>
          <w:spacing w:val="0"/>
          <w:sz w:val="32"/>
          <w:szCs w:val="32"/>
          <w:bdr w:val="none" w:color="auto" w:sz="0" w:space="0"/>
        </w:rPr>
        <w:t>四、存在的不足及改进措施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rPr>
        <w:t>（一）存在的问题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Style w:val="5"/>
          <w:rFonts w:hint="eastAsia" w:ascii="仿宋" w:hAnsi="仿宋" w:eastAsia="仿宋" w:cs="仿宋"/>
          <w:i w:val="0"/>
          <w:iCs w:val="0"/>
          <w:caps w:val="0"/>
          <w:color w:val="000000"/>
          <w:spacing w:val="0"/>
          <w:sz w:val="32"/>
          <w:szCs w:val="32"/>
          <w:bdr w:val="none" w:color="auto" w:sz="0" w:space="0"/>
        </w:rPr>
        <w:t>一是</w:t>
      </w:r>
      <w:r>
        <w:rPr>
          <w:rFonts w:hint="eastAsia" w:ascii="仿宋" w:hAnsi="仿宋" w:eastAsia="仿宋" w:cs="仿宋"/>
          <w:i w:val="0"/>
          <w:iCs w:val="0"/>
          <w:caps w:val="0"/>
          <w:color w:val="000000"/>
          <w:spacing w:val="0"/>
          <w:sz w:val="32"/>
          <w:szCs w:val="32"/>
          <w:bdr w:val="none" w:color="auto" w:sz="0" w:space="0"/>
        </w:rPr>
        <w:t>政策解读、回应关切和公众参与有待进一步加强。现有公开工作与社会公众的期望仍有一定差距。</w:t>
      </w:r>
      <w:r>
        <w:rPr>
          <w:rStyle w:val="5"/>
          <w:rFonts w:hint="eastAsia" w:ascii="仿宋" w:hAnsi="仿宋" w:eastAsia="仿宋" w:cs="仿宋"/>
          <w:i w:val="0"/>
          <w:iCs w:val="0"/>
          <w:caps w:val="0"/>
          <w:color w:val="000000"/>
          <w:spacing w:val="0"/>
          <w:sz w:val="32"/>
          <w:szCs w:val="32"/>
          <w:bdr w:val="none" w:color="auto" w:sz="0" w:space="0"/>
        </w:rPr>
        <w:t>二是</w:t>
      </w:r>
      <w:r>
        <w:rPr>
          <w:rFonts w:hint="eastAsia" w:ascii="仿宋" w:hAnsi="仿宋" w:eastAsia="仿宋" w:cs="仿宋"/>
          <w:i w:val="0"/>
          <w:iCs w:val="0"/>
          <w:caps w:val="0"/>
          <w:color w:val="000000"/>
          <w:spacing w:val="0"/>
          <w:sz w:val="32"/>
          <w:szCs w:val="32"/>
          <w:bdr w:val="none" w:color="auto" w:sz="0" w:space="0"/>
        </w:rPr>
        <w:t>意见征集、意见反馈工作还有待于加强。</w:t>
      </w:r>
      <w:r>
        <w:rPr>
          <w:rStyle w:val="5"/>
          <w:rFonts w:hint="eastAsia" w:ascii="仿宋" w:hAnsi="仿宋" w:eastAsia="仿宋" w:cs="仿宋"/>
          <w:i w:val="0"/>
          <w:iCs w:val="0"/>
          <w:caps w:val="0"/>
          <w:color w:val="000000"/>
          <w:spacing w:val="0"/>
          <w:sz w:val="32"/>
          <w:szCs w:val="32"/>
          <w:bdr w:val="none" w:color="auto" w:sz="0" w:space="0"/>
        </w:rPr>
        <w:t>三是</w:t>
      </w:r>
      <w:r>
        <w:rPr>
          <w:rFonts w:hint="eastAsia" w:ascii="仿宋" w:hAnsi="仿宋" w:eastAsia="仿宋" w:cs="仿宋"/>
          <w:i w:val="0"/>
          <w:iCs w:val="0"/>
          <w:caps w:val="0"/>
          <w:color w:val="000000"/>
          <w:spacing w:val="0"/>
          <w:sz w:val="32"/>
          <w:szCs w:val="32"/>
          <w:bdr w:val="none" w:color="auto" w:sz="0" w:space="0"/>
        </w:rPr>
        <w:t>政务公开工作力量依然薄弱，街道一级没有专门的信息公开办公室，而是由办事处办公室统一承担，没有独立的编制，人员紧、任务重。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serif" w:hAnsi="Calibri" w:eastAsia="serif" w:cs="serif"/>
          <w:i w:val="0"/>
          <w:iCs w:val="0"/>
          <w:caps w:val="0"/>
          <w:color w:val="000000"/>
          <w:spacing w:val="0"/>
          <w:sz w:val="32"/>
          <w:szCs w:val="32"/>
          <w:bdr w:val="none" w:color="auto" w:sz="0" w:space="0"/>
        </w:rPr>
        <w:t>（二）2018年改进措施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一是继续做好政策法规、业务动态、规划计划等常规信息公开的基础上，不断加大对行政机关收支、工程建设领域信息等社会普遍关注的热点信息公开力度，在确保不泄密的情况下，最大限度公开政府信息，特别是群众关注的民生问题，以群众需求为导向，努力打造“让群众知情、请群众参与、受群众监督、为群众服务”的信息公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二是进一步推进公众参与和政民互动。围绕政府中心工作，细化公众参与事项的范围，在政策制定、执行和监督各环节充分引入公众参与，研究出台本街道重大行政决策公开、行政机关扩大公众参与、加强政民互动的相关工作意见。对于需要向广大群众征集意见的要及时通过网络媒体向群众征求意见，并对征求到的意见进行及时反馈，切实增强政民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三是继续完善依申请公开机制。在加大主动公开力度的基础上，进一步规范已申请公开工作机制，梳理汇总申请受理、办理、答复全环节过程中可能出现的问题，强化自身受理、办理水平，指导科室提升依申请公开答复依法规范水平。以依申请公开促依法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四是加强与上级业务指导部门交流，进一步在本单位开展业务培训。提高政府信息公开工作人员能力，提高群众对政府信息公开工作的满意度。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政府信息公开情况统计表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（2017年度）</w:t>
      </w:r>
    </w:p>
    <w:tbl>
      <w:tblPr>
        <w:tblW w:w="5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72"/>
        <w:gridCol w:w="465"/>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1" w:hRule="atLeast"/>
        </w:trPr>
        <w:tc>
          <w:tcPr>
            <w:tcW w:w="4095" w:type="dxa"/>
            <w:tcBorders>
              <w:top w:val="dotted" w:color="D3D3D3" w:sz="6" w:space="0"/>
              <w:left w:val="dotted" w:color="D3D3D3" w:sz="6" w:space="0"/>
              <w:bottom w:val="dotted" w:color="D3D3D3" w:sz="6" w:space="0"/>
              <w:right w:val="dotted" w:color="D3D3D3" w:sz="6" w:space="0"/>
            </w:tcBorders>
            <w:shd w:val="clear"/>
            <w:tcMar>
              <w:left w:w="108" w:type="dxa"/>
              <w:right w:w="108"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填报单位（盖章）：</w:t>
            </w:r>
          </w:p>
        </w:tc>
        <w:tc>
          <w:tcPr>
            <w:tcW w:w="465" w:type="dxa"/>
            <w:tcBorders>
              <w:top w:val="dotted" w:color="D3D3D3" w:sz="6" w:space="0"/>
              <w:left w:val="dotted" w:color="D3D3D3" w:sz="6" w:space="0"/>
              <w:bottom w:val="dotted" w:color="D3D3D3" w:sz="6" w:space="0"/>
              <w:right w:val="dotted" w:color="D3D3D3" w:sz="6" w:space="0"/>
            </w:tcBorders>
            <w:shd w:val="clear" w:color="auto" w:fill="FFFFFF"/>
            <w:noWrap/>
            <w:tcMar>
              <w:left w:w="108" w:type="dxa"/>
              <w:right w:w="108" w:type="dxa"/>
            </w:tcMar>
            <w:vAlign w:val="center"/>
          </w:tcPr>
          <w:p>
            <w:pPr>
              <w:keepNext w:val="0"/>
              <w:keepLines w:val="0"/>
              <w:widowControl/>
              <w:suppressLineNumbers w:val="0"/>
              <w:jc w:val="left"/>
              <w:rPr>
                <w:sz w:val="18"/>
                <w:szCs w:val="18"/>
              </w:rPr>
            </w:pPr>
          </w:p>
        </w:tc>
        <w:tc>
          <w:tcPr>
            <w:tcW w:w="750" w:type="dxa"/>
            <w:tcBorders>
              <w:top w:val="dotted" w:color="D3D3D3" w:sz="6" w:space="0"/>
              <w:left w:val="dotted" w:color="D3D3D3" w:sz="6" w:space="0"/>
              <w:bottom w:val="dotted" w:color="D3D3D3" w:sz="6" w:space="0"/>
              <w:right w:val="dotted" w:color="D3D3D3" w:sz="6" w:space="0"/>
            </w:tcBorders>
            <w:shd w:val="clear" w:color="auto" w:fill="FFFFFF"/>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统</w:t>
            </w: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计</w:t>
            </w: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指</w:t>
            </w: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标</w:t>
            </w:r>
          </w:p>
        </w:tc>
        <w:tc>
          <w:tcPr>
            <w:tcW w:w="46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Style w:val="5"/>
                <w:rFonts w:hint="default" w:ascii="等线" w:hAnsi="等线" w:eastAsia="等线" w:cs="等线"/>
                <w:sz w:val="22"/>
                <w:szCs w:val="22"/>
                <w:bdr w:val="none" w:color="auto" w:sz="0" w:space="0"/>
              </w:rPr>
              <w:t>单位</w:t>
            </w:r>
          </w:p>
        </w:tc>
        <w:tc>
          <w:tcPr>
            <w:tcW w:w="750"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一、主动公开情况</w:t>
            </w:r>
          </w:p>
        </w:tc>
        <w:tc>
          <w:tcPr>
            <w:tcW w:w="465" w:type="dxa"/>
            <w:tcBorders>
              <w:top w:val="dotted" w:color="D3D3D3" w:sz="6" w:space="0"/>
              <w:left w:val="dotted" w:color="D3D3D3" w:sz="6" w:space="0"/>
              <w:bottom w:val="dotted" w:color="D3D3D3" w:sz="6" w:space="0"/>
              <w:right w:val="dotted" w:color="D3D3D3" w:sz="6" w:space="0"/>
            </w:tcBorders>
            <w:shd w:val="clear" w:color="auto" w:fill="FFFFFF"/>
            <w:noWrap/>
            <w:tcMar>
              <w:left w:w="108" w:type="dxa"/>
              <w:right w:w="108" w:type="dxa"/>
            </w:tcMar>
            <w:vAlign w:val="center"/>
          </w:tcPr>
          <w:p>
            <w:pPr>
              <w:keepNext w:val="0"/>
              <w:keepLines w:val="0"/>
              <w:widowControl/>
              <w:suppressLineNumbers w:val="0"/>
              <w:jc w:val="left"/>
              <w:rPr>
                <w:sz w:val="18"/>
                <w:szCs w:val="18"/>
              </w:rPr>
            </w:pPr>
          </w:p>
        </w:tc>
        <w:tc>
          <w:tcPr>
            <w:tcW w:w="750"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（一）主动公开政府信息数（不同渠道和方式公开相同信息计</w:t>
            </w:r>
            <w:r>
              <w:rPr>
                <w:rFonts w:hint="default" w:ascii="Arial" w:hAnsi="Arial" w:cs="Arial"/>
                <w:sz w:val="20"/>
                <w:szCs w:val="20"/>
                <w:bdr w:val="none" w:color="auto" w:sz="0" w:space="0"/>
              </w:rPr>
              <w:t>1</w:t>
            </w:r>
            <w:r>
              <w:rPr>
                <w:rFonts w:hint="eastAsia" w:ascii="宋体" w:hAnsi="宋体" w:eastAsia="宋体" w:cs="宋体"/>
                <w:sz w:val="20"/>
                <w:szCs w:val="20"/>
                <w:bdr w:val="none" w:color="auto" w:sz="0" w:space="0"/>
              </w:rPr>
              <w:t>条）</w:t>
            </w:r>
          </w:p>
        </w:tc>
        <w:tc>
          <w:tcPr>
            <w:tcW w:w="46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其中：主动公开规范性文件数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制发规范性文件总数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（二）重点领域公开政府信息数（不同渠道和方式公开相同信息计</w:t>
            </w:r>
            <w:r>
              <w:rPr>
                <w:rFonts w:hint="default" w:ascii="Arial" w:hAnsi="Arial" w:cs="Arial"/>
                <w:sz w:val="20"/>
                <w:szCs w:val="20"/>
                <w:bdr w:val="none" w:color="auto" w:sz="0" w:space="0"/>
              </w:rPr>
              <w:t>1</w:t>
            </w:r>
            <w:r>
              <w:rPr>
                <w:rFonts w:hint="eastAsia" w:ascii="宋体" w:hAnsi="宋体" w:eastAsia="宋体" w:cs="宋体"/>
                <w:sz w:val="20"/>
                <w:szCs w:val="20"/>
                <w:bdr w:val="none" w:color="auto" w:sz="0" w:space="0"/>
              </w:rPr>
              <w:t>条）</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其中：主动公开财政预算决算、</w:t>
            </w:r>
            <w:r>
              <w:rPr>
                <w:rFonts w:hint="default" w:ascii="Arial" w:hAnsi="Arial" w:cs="Arial"/>
                <w:sz w:val="20"/>
                <w:szCs w:val="20"/>
                <w:bdr w:val="none" w:color="auto" w:sz="0" w:space="0"/>
              </w:rPr>
              <w:t>“</w:t>
            </w:r>
            <w:r>
              <w:rPr>
                <w:rFonts w:hint="eastAsia" w:ascii="宋体" w:hAnsi="宋体" w:eastAsia="宋体" w:cs="宋体"/>
                <w:sz w:val="20"/>
                <w:szCs w:val="20"/>
                <w:bdr w:val="none" w:color="auto" w:sz="0" w:space="0"/>
              </w:rPr>
              <w:t>三公经费</w:t>
            </w:r>
            <w:r>
              <w:rPr>
                <w:rFonts w:hint="default" w:ascii="Arial" w:hAnsi="Arial" w:cs="Arial"/>
                <w:sz w:val="20"/>
                <w:szCs w:val="20"/>
                <w:bdr w:val="none" w:color="auto" w:sz="0" w:space="0"/>
              </w:rPr>
              <w:t>”</w:t>
            </w:r>
            <w:r>
              <w:rPr>
                <w:rFonts w:hint="eastAsia" w:ascii="宋体" w:hAnsi="宋体" w:eastAsia="宋体" w:cs="宋体"/>
                <w:sz w:val="20"/>
                <w:szCs w:val="20"/>
                <w:bdr w:val="none" w:color="auto" w:sz="0" w:space="0"/>
              </w:rPr>
              <w:t>和行政经费信息数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主动公开保障性安居工程建设计划、项目开工和竣工情况，保障性住房的分配和退出等信息数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主动公开食品安全标准，食品生产经营许可、专项检查整治等信息数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主动公开环境核查审批、环境状况公报和重特大突发环境事件等信息数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主动公开招投标违法违规行为及处理情况、国有资金占控股或者主导地位依法应当招标的项目等信息数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主动公开生产安全事故的政府举措、处置进展、风险预警、防范措施等信息数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主动公开农用地转为建设用地批准、征收集体土地批准、征地公告征地补偿安置公示、集体土地征收结案等信息数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主动公开政府指导价、政府定价和收费标准调整的项目、价格、依据、执行时间和范围等信息数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主动公开本市企业信用信息系统中的警示信息和良好信息等信息数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主动公开政府部门预算执行审计结果等信息数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主动公开行政机关对与人民群众利益密切相关的公共企事业单位进行监督管理的信息数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主动公开市人民政府决定主动公开的其他信息数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（三）通过不同渠道和方式公开政府信息的情况</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jc w:val="left"/>
              <w:rPr>
                <w:sz w:val="18"/>
                <w:szCs w:val="18"/>
              </w:rPr>
            </w:pP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政府公报公开政府信息数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政府网站公开政府信息数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政务微博公开政府信息数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政务微信公开政府信息数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5.</w:t>
            </w:r>
            <w:r>
              <w:rPr>
                <w:rFonts w:hint="eastAsia" w:ascii="宋体" w:hAnsi="宋体" w:eastAsia="宋体" w:cs="宋体"/>
                <w:sz w:val="20"/>
                <w:szCs w:val="20"/>
                <w:bdr w:val="none" w:color="auto" w:sz="0" w:space="0"/>
              </w:rPr>
              <w:t>其他方式公开政府信息数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二、回应解读情况</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jc w:val="left"/>
              <w:rPr>
                <w:sz w:val="18"/>
                <w:szCs w:val="18"/>
              </w:rPr>
            </w:pP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（一）回应公众关注热点或重大舆情数（不同方式回应同一热点或舆情计</w:t>
            </w:r>
            <w:r>
              <w:rPr>
                <w:rFonts w:hint="default" w:ascii="Arial" w:hAnsi="Arial" w:cs="Arial"/>
                <w:sz w:val="20"/>
                <w:szCs w:val="20"/>
                <w:bdr w:val="none" w:color="auto" w:sz="0" w:space="0"/>
              </w:rPr>
              <w:t>1</w:t>
            </w:r>
            <w:r>
              <w:rPr>
                <w:rFonts w:hint="eastAsia" w:ascii="宋体" w:hAnsi="宋体" w:eastAsia="宋体" w:cs="宋体"/>
                <w:sz w:val="20"/>
                <w:szCs w:val="20"/>
                <w:bdr w:val="none" w:color="auto" w:sz="0" w:space="0"/>
              </w:rPr>
              <w:t>次）</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（二）通过不同渠道和方式回应解读的情况</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jc w:val="left"/>
              <w:rPr>
                <w:sz w:val="18"/>
                <w:szCs w:val="18"/>
              </w:rPr>
            </w:pP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参加或举办新闻发布会总次数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其中：主要负责同志参加新闻发布会次数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政府网站在线访谈次数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其中：主要负责同志参加政府网站在线访谈次数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政策解读稿件发布数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篇</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微博微信回应事件数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5.</w:t>
            </w:r>
            <w:r>
              <w:rPr>
                <w:rFonts w:hint="eastAsia" w:ascii="宋体" w:hAnsi="宋体" w:eastAsia="宋体" w:cs="宋体"/>
                <w:sz w:val="20"/>
                <w:szCs w:val="20"/>
                <w:bdr w:val="none" w:color="auto" w:sz="0" w:space="0"/>
              </w:rPr>
              <w:t>其他方式回应事件数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三、依申请公开情况</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jc w:val="left"/>
              <w:rPr>
                <w:sz w:val="18"/>
                <w:szCs w:val="18"/>
              </w:rPr>
            </w:pP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（一）收到申请数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当面申请数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传真申请数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网络申请数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信函申请数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（二）申请办结数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按时办结数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延期办结数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（三）申请答复数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属于已主动公开范围数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同意公开答复数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3.</w:t>
            </w:r>
            <w:r>
              <w:rPr>
                <w:rFonts w:hint="eastAsia" w:ascii="宋体" w:hAnsi="宋体" w:eastAsia="宋体" w:cs="宋体"/>
                <w:sz w:val="20"/>
                <w:szCs w:val="20"/>
                <w:bdr w:val="none" w:color="auto" w:sz="0" w:space="0"/>
              </w:rPr>
              <w:t>同意部分公开答复数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4.</w:t>
            </w:r>
            <w:r>
              <w:rPr>
                <w:rFonts w:hint="eastAsia" w:ascii="宋体" w:hAnsi="宋体" w:eastAsia="宋体" w:cs="宋体"/>
                <w:sz w:val="20"/>
                <w:szCs w:val="20"/>
                <w:bdr w:val="none" w:color="auto" w:sz="0" w:space="0"/>
              </w:rPr>
              <w:t>不同意公开答复数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其中：涉及国家秘密</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涉及商业秘密</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涉及个人隐私</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危及国家安全、公共安全、经济安全和社会稳定</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不是《条例》所指政府信息</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法律法规规定的其他情形</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5.</w:t>
            </w:r>
            <w:r>
              <w:rPr>
                <w:rFonts w:hint="eastAsia" w:ascii="宋体" w:hAnsi="宋体" w:eastAsia="宋体" w:cs="宋体"/>
                <w:sz w:val="20"/>
                <w:szCs w:val="20"/>
                <w:bdr w:val="none" w:color="auto" w:sz="0" w:space="0"/>
              </w:rPr>
              <w:t>不属于本行政机关公开数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6.</w:t>
            </w:r>
            <w:r>
              <w:rPr>
                <w:rFonts w:hint="eastAsia" w:ascii="宋体" w:hAnsi="宋体" w:eastAsia="宋体" w:cs="宋体"/>
                <w:sz w:val="20"/>
                <w:szCs w:val="20"/>
                <w:bdr w:val="none" w:color="auto" w:sz="0" w:space="0"/>
              </w:rPr>
              <w:t>申请信息不存在数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7.</w:t>
            </w:r>
            <w:r>
              <w:rPr>
                <w:rFonts w:hint="eastAsia" w:ascii="宋体" w:hAnsi="宋体" w:eastAsia="宋体" w:cs="宋体"/>
                <w:sz w:val="20"/>
                <w:szCs w:val="20"/>
                <w:bdr w:val="none" w:color="auto" w:sz="0" w:space="0"/>
              </w:rPr>
              <w:t>告知作出更改补充数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8.</w:t>
            </w:r>
            <w:r>
              <w:rPr>
                <w:rFonts w:hint="eastAsia" w:ascii="宋体" w:hAnsi="宋体" w:eastAsia="宋体" w:cs="宋体"/>
                <w:sz w:val="20"/>
                <w:szCs w:val="20"/>
                <w:bdr w:val="none" w:color="auto" w:sz="0" w:space="0"/>
              </w:rPr>
              <w:t>告知通过其他途径办理数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四、行政复议数量</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（一）维持具体行政行为数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（二）被依法纠错数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（三）其他情形数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五、行政诉讼数量</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（一）维持具体行政行为或者驳回原告诉讼请求数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（二）被依法纠错数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（三）其他情形数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六、举报投诉数量</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件</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七、依申请公开信息收取的费用</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元</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八、机构建设和保障经费情况</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jc w:val="left"/>
              <w:rPr>
                <w:sz w:val="18"/>
                <w:szCs w:val="18"/>
              </w:rPr>
            </w:pP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（一）政府信息公开工作专门机构数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个</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（二）设置政府信息公开查阅点数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个</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（三）从事政府信息公开工作人员数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人</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1.</w:t>
            </w:r>
            <w:r>
              <w:rPr>
                <w:rFonts w:hint="eastAsia" w:ascii="宋体" w:hAnsi="宋体" w:eastAsia="宋体" w:cs="宋体"/>
                <w:sz w:val="20"/>
                <w:szCs w:val="20"/>
                <w:bdr w:val="none" w:color="auto" w:sz="0" w:space="0"/>
              </w:rPr>
              <w:t>专职人员数（不包括政府公报及政府网站工作人员数）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人</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2.</w:t>
            </w:r>
            <w:r>
              <w:rPr>
                <w:rFonts w:hint="eastAsia" w:ascii="宋体" w:hAnsi="宋体" w:eastAsia="宋体" w:cs="宋体"/>
                <w:sz w:val="20"/>
                <w:szCs w:val="20"/>
                <w:bdr w:val="none" w:color="auto" w:sz="0" w:space="0"/>
              </w:rPr>
              <w:t>兼职人员数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人</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（四）政府信息公开专项经费（不包括用于政府公报编辑管理及政府网站建设维护等方面的经费）</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元</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九、政府信息公开会议和培训情况</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jc w:val="left"/>
              <w:rPr>
                <w:sz w:val="18"/>
                <w:szCs w:val="18"/>
              </w:rPr>
            </w:pP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（一）召开政府信息公开工作会议或专题会议数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（二）举办各类培训班数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40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Arial" w:hAnsi="Arial" w:cs="Arial"/>
                <w:sz w:val="20"/>
                <w:szCs w:val="20"/>
                <w:bdr w:val="none" w:color="auto" w:sz="0" w:space="0"/>
              </w:rPr>
              <w:t>  </w:t>
            </w:r>
            <w:r>
              <w:rPr>
                <w:rFonts w:hint="eastAsia" w:ascii="宋体" w:hAnsi="宋体" w:eastAsia="宋体" w:cs="宋体"/>
                <w:sz w:val="20"/>
                <w:szCs w:val="20"/>
                <w:bdr w:val="none" w:color="auto" w:sz="0" w:space="0"/>
              </w:rPr>
              <w:t>（三）接受培训人员数</w:t>
            </w:r>
          </w:p>
        </w:tc>
        <w:tc>
          <w:tcPr>
            <w:tcW w:w="46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人次</w:t>
            </w:r>
          </w:p>
        </w:tc>
        <w:tc>
          <w:tcPr>
            <w:tcW w:w="750" w:type="dxa"/>
            <w:tcBorders>
              <w:top w:val="nil"/>
              <w:left w:val="nil"/>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Arial" w:hAnsi="Arial" w:cs="Arial"/>
                <w:sz w:val="20"/>
                <w:szCs w:val="20"/>
                <w:bdr w:val="none" w:color="auto" w:sz="0" w:space="0"/>
              </w:rPr>
              <w:t>51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sans-serif" w:cs="Calibri"/>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40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17090C146F9349F09303E4BA5E30339D</vt:lpwstr>
  </property>
</Properties>
</file>