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西城区月坛街道2017年政府信息公开工作年度报告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bookmarkStart w:id="0" w:name="_GoBack"/>
      <w:bookmarkEnd w:id="0"/>
      <w:r>
        <w:rPr>
          <w:rFonts w:hint="eastAsia" w:ascii="宋体" w:hAnsi="宋体" w:eastAsia="宋体" w:cs="宋体"/>
          <w:i w:val="0"/>
          <w:iCs w:val="0"/>
          <w:caps w:val="0"/>
          <w:color w:val="000000"/>
          <w:spacing w:val="0"/>
          <w:sz w:val="31"/>
          <w:szCs w:val="31"/>
          <w:bdr w:val="none" w:color="auto" w:sz="0" w:space="0"/>
        </w:rPr>
        <w:t>本报告是根据《中华人民共和国政府信息公开条例》（以下简称《条例》）第32条和《北京市政府信息公开规定》第36条规定，结合2017年度工作实际，由西城区月坛街道编制的2017年度政府信息公开工作年度报告。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全文包括2017年街道信息和政务公开重点工作情况、存在的不足及改进措施，以及主动公开、依申请公开、行政复议、行政诉讼等政府信息公开相关数据。本报告中所列数据的统计期限自2017年1月1日起，至2017年12月31日止。在区政府网站（http://www.bjxch.gov.cn）政府信息公开专栏上可下载本报告的电子版。如对本报告有任何疑问，请联系三里河一区5-7办公室303，联系电话51813797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2017年，月坛街道深入学习贯彻党的十九大精神，以习近平新时代中国特色社会主义思想为指引，以习近平总书记两次视察北京重要讲话精神为根本遵循，贯彻《关于全面推进政务公开工作的意见》、《&lt;关于全面推进政务公开工作的意见&gt;实施细则》和《2017年政务公开工作要点》要求，努力在信息公开、解读回应、公众参与、网站建设等领域实现新突破，进一步健全公开制度，拓宽公开渠道，完善公开载体，深化公开内容，积极、稳妥、有序做好政府信息公开各项工作，有力地保障了公众的知情权、参与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hint="eastAsia" w:ascii="宋体" w:hAnsi="宋体" w:eastAsia="宋体" w:cs="宋体"/>
          <w:b/>
          <w:bCs/>
          <w:i w:val="0"/>
          <w:iCs w:val="0"/>
          <w:caps w:val="0"/>
          <w:color w:val="000000"/>
          <w:spacing w:val="0"/>
          <w:sz w:val="31"/>
          <w:szCs w:val="31"/>
          <w:bdr w:val="none" w:color="auto" w:sz="0" w:space="0"/>
        </w:rPr>
        <w:t>一、</w:t>
      </w:r>
      <w:r>
        <w:rPr>
          <w:rStyle w:val="5"/>
          <w:rFonts w:hint="eastAsia" w:ascii="宋体" w:hAnsi="宋体" w:eastAsia="宋体" w:cs="宋体"/>
          <w:i w:val="0"/>
          <w:iCs w:val="0"/>
          <w:caps w:val="0"/>
          <w:color w:val="000000"/>
          <w:spacing w:val="0"/>
          <w:sz w:val="31"/>
          <w:szCs w:val="31"/>
          <w:bdr w:val="none" w:color="auto" w:sz="0" w:space="0"/>
        </w:rPr>
        <w:t>年度重点工作情况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一）不断完善组织机构。更新健全领导机构，办事处主任担任领导小组组长，领导小组办公室设在街道办公室。政务公开工作列入主管办公室领导的工作分工，并对外公开。办公室确定一名工作人员负责街道信息公开工作，各科室信息员为兼职工作人员，协同配合开展政府信息与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二)不断完善制度建设。主动公开方面制定了《月坛街道会议开放制度》、《月坛街道向公众报告制度》、《月坛街道政府开放日制度》。依申请公开的方面规范了《月坛街道政府信息公开指南》、《月坛街道政府信息依申请公开工作办法》、《月坛街道政府信息与政务公开义务主体规范办法》《月坛街道政府依申请公开审签流程》等相关配套制度，还进行了全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三）不断完善公开机制。街道在建立健全政府信息公开工作机制上不断完善，明确政府信息公开工作是办事处各科室的职责，实行全员责任制;完善公开的职责、程序、公开方式和时限要求；信息起草科室负责逐条填报《西城区政府信息发布保密审查单》。街道保密审查领导小组（设在街道办公室）进行保密审查，按程序逐级进行报批，最终确定该信息的公开属;完善依申请公开工作规程，明确受理、审查、处理、答复、归档等各环节的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四)不断完善公开形式。切实加强信息公开平台机制建设，充分利用街道门户网站、《人文月坛报》、宣传栏、公共服务大厅LED电子屏等形式进一步加大政务信息与政务公开工作的宣传力度，营造良好氛围。加强新媒体在地区单位和居民中间的传播作用，途径拓宽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sz w:val="18"/>
          <w:szCs w:val="18"/>
        </w:rPr>
      </w:pPr>
      <w:r>
        <w:rPr>
          <w:rFonts w:hint="eastAsia" w:ascii="宋体" w:hAnsi="宋体" w:eastAsia="宋体" w:cs="宋体"/>
          <w:b/>
          <w:bCs/>
          <w:i w:val="0"/>
          <w:iCs w:val="0"/>
          <w:caps w:val="0"/>
          <w:color w:val="000000"/>
          <w:spacing w:val="0"/>
          <w:sz w:val="31"/>
          <w:szCs w:val="31"/>
          <w:bdr w:val="none" w:color="auto" w:sz="0" w:space="0"/>
        </w:rPr>
        <w:t>二、</w:t>
      </w:r>
      <w:r>
        <w:rPr>
          <w:rStyle w:val="5"/>
          <w:rFonts w:hint="eastAsia" w:ascii="宋体" w:hAnsi="宋体" w:eastAsia="宋体" w:cs="宋体"/>
          <w:i w:val="0"/>
          <w:iCs w:val="0"/>
          <w:caps w:val="0"/>
          <w:color w:val="000000"/>
          <w:spacing w:val="0"/>
          <w:sz w:val="31"/>
          <w:szCs w:val="31"/>
          <w:bdr w:val="none" w:color="auto" w:sz="0" w:space="0"/>
        </w:rPr>
        <w:t>重点领域信息发布解读情况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（一）民生领域信息公开工作情况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全年重点推进民生领域信息公开情况，一是推进社会救助信息公开。按月公开低保对象、特困人员相关信息，按季度公开医疗救助、临时救助开展情况。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（二）财政预决算信息公开工作情况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推进财政预决算和审计信息公开。财政预决算实现“四本预算”的“全口径”公开，对部门预算收支情况、财政拨款支出预算等内容进行公开，进一步明确部门决算公开的主体、范围、内容、形式、时限等，明确“工资福利支出、对个人和家庭补助支出、公务接待人次和人均支出”等具体公开标准。</w:t>
      </w:r>
      <w:r>
        <w:rPr>
          <w:rFonts w:hint="eastAsia" w:ascii="宋体" w:hAnsi="宋体" w:eastAsia="宋体" w:cs="宋体"/>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三）推进重大建设项目信息公开。根据部门职责，对重大建设项目的招标方案进行公开。对渣土清运项目、社区消防安全教育体统定制开发项目等政府采购、政府购买服务等财政政策情况进行公开。通过网站公开了招标的过程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（四）基础信息公开工作情况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一是强化依申请公开工作指导。针对依申请公开问题，梳理汇总、申请受理、办理、答复形成闭环工作模式。同时指导科室提升依申请公开依法规范水平，规范举报投诉处理流程，健全举报投诉的救济渠道，强化问题跟踪和督促整改。二是强化政府网站内容常态化更新。每天对街道工作动态进行更新，形成定期更新、提质增效的良性循环。三是强化绩效管理和考核监督。按照区政府要求，紧紧围绕“五公开”，不断加强和改进目标管理绩效考核工作，对存在问题进行自查自改，坚持以评估查问题、以评估促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  </w:t>
      </w:r>
      <w:r>
        <w:rPr>
          <w:rStyle w:val="5"/>
          <w:rFonts w:hint="eastAsia" w:ascii="宋体" w:hAnsi="宋体" w:eastAsia="宋体" w:cs="宋体"/>
          <w:i w:val="0"/>
          <w:iCs w:val="0"/>
          <w:caps w:val="0"/>
          <w:color w:val="000000"/>
          <w:spacing w:val="0"/>
          <w:sz w:val="31"/>
          <w:szCs w:val="31"/>
          <w:bdr w:val="none" w:color="auto" w:sz="0" w:space="0"/>
        </w:rPr>
        <w:t>三、公开数据情况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  （一）主动公开政府信息情况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right="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1.公开情况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街道2017年共主动公开政府信息267条，比去年增加57条，比去年提高27%，其中全文电子化率达100%。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在主动公开的信息中，机构职能类信息8条，占总体的比例为2.9%；法规文件类信息3条，占总体的比例为1.1%；规划计划类信息18条，占总体的比例为6.7%；业务动态类信息215条，占总体的比例为80.5%。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全年通过微信号发送政务信息159篇,在中央、市级报纸、电台、电视台被报道合计323篇次。2017年共出版《人文月坛》52期，政务信息382篇,发放150余万份，让居民深入了解市、区、街道各项工作。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开辟了月坛街道公共服务大厅、月坛街道社区服务中心图书馆、西城青少年科技馆3个政府信息查阅点。截至2017年底，本单位政府信息公开工作运行正常，政府信息公开咨询、申请以及答复工作均得到了顺利开展。共接受公民、法人及其他组织政府信息公开方面的咨询9890人次。其中，现场咨询6836人次，占总人次的 69%；电话咨询3054人次，占总人次的31 %。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（二）依申请公开政府信息情况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街道2017年度共收到政府信息公开申请2件，通过互联网提交申请有1件，另一件以信函形式申请，2件都要求用邮件方式回复。从申请的信息内容来看，100%是业务动态类信息。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现在已经答复的2件申请中：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“同意公开”的2件，占总数的100%，主要涉及辖区内安装技防监控探头设施小区名单和街道辖区内现有养老服务机构名单等信息。已经圆满答复并在网上登记备案。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31"/>
          <w:szCs w:val="31"/>
          <w:bdr w:val="none" w:color="auto" w:sz="0" w:space="0"/>
        </w:rPr>
        <w:t>（三）</w:t>
      </w:r>
      <w:r>
        <w:rPr>
          <w:rFonts w:hint="eastAsia" w:ascii="宋体" w:hAnsi="宋体" w:eastAsia="宋体" w:cs="宋体"/>
          <w:i w:val="0"/>
          <w:iCs w:val="0"/>
          <w:caps w:val="0"/>
          <w:color w:val="000000"/>
          <w:spacing w:val="0"/>
          <w:sz w:val="31"/>
          <w:szCs w:val="31"/>
          <w:bdr w:val="none" w:color="auto" w:sz="0" w:space="0"/>
        </w:rPr>
        <w:t>政府信息公开的收费以及免除费用的情况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按照市财政局、市发展改革委《关于清理规范一批行政事业性收费有关政策的通知》（京财综﹝2017﹞569号）要求，自2017年4月1日起，街道已停止收取依申请公开政府信息费用。截至2017年3月31日，街道按照《北京市行政机关依申请提供政府公开信息收费办法(试行)》规定，对依申请提供政府信息收取检索、复制、邮寄等费用共计0元。对农村五保供养对象、城乡居民最低生活保障对象、领取国家抚恤补助的优抚对象，依法免收相关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2017年，针对本单位政府信息公开的行政复议、诉讼、举报申请0件。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（五）机构建设及保障培训情况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本单位政府信息公开工作专门机构数为0个，设置政府信息公开查阅点数3个。从事政府信息公开工作人员33名，其中，专职人员数0名，兼职人员数33名。政府信息公开专项经费10000元。全年共开展政府信息与政务公开工作专题会2次，主要领导听取政府信息与政务公开工作汇报2次，组织各科室科长和信息员开展专题培训2次，共86人次。由办公室人员具体进行工作总结，专家讲课，街道主要领导提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（六）人大代表建议和政协委员提案办理结果公开情况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街道全年办理人大代表建议主办5件，结案率100%，人大代表和政协委员提案会办7件，办理率100%，主办件和会办件由区政府统一公开。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31"/>
          <w:szCs w:val="31"/>
          <w:bdr w:val="none" w:color="auto" w:sz="0" w:space="0"/>
        </w:rPr>
        <w:t>四、存在的不足及改进措施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（一）存在的不足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shd w:val="clear" w:fill="FFFFFF"/>
        </w:rPr>
        <w:t>一是政府信息公开的制度落实有待加强。二是“政府开放日”、“会议开放”等公开平台的形式和内容有待进一步拓展和创新。三是政府信息公开人员培训和宣传有待进一步加强和落实。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shd w:val="clear" w:fill="FFFFFF"/>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shd w:val="clear" w:fill="FFFFFF"/>
        </w:rPr>
        <w:t>一是加强业务学习和培训。积极组织、参加政府信息公开工作相关的培训，提升信息公开工作人员管理水平。提高信息的质量，并确保信息的及时性。方便公众查询，不断提升政府信息公开整体工作水平。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shd w:val="clear" w:fill="FFFFFF"/>
        </w:rPr>
        <w:t>二是完善机制，丰富信息公开内容。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shd w:val="clear" w:fill="FFFFFF"/>
        </w:rPr>
        <w:t>不断完善工作机制，使信息公开工作标准化、常态化。坚持按照以公开为原则，不公开为例外的要求，加大政府信息公开力度，丰富公开内容，努力做到政府信息公开的内容不断充实和完善。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shd w:val="clear" w:fill="FFFFFF"/>
        </w:rPr>
        <w:t>三是加大信息公开宣传力度。办公室做好牵头工作，各个部门做好多种渠道宣传，提高群众对政府信息公开的知晓率和参与度。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shd w:val="clear" w:fill="FFFFFF"/>
        </w:rPr>
        <w:t>四是拓宽政府信息公开渠道。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30"/>
        <w:jc w:val="both"/>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shd w:val="clear" w:fill="FFFFFF"/>
        </w:rPr>
        <w:t>完善街道图书馆、公共服务大厅、业务网站等信息公开平台建设，开展多种形式的信息公开方式，开展好“政府开放日”等活动，增强和居民的互动。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ascii="仿宋_GB2312" w:hAnsi="宋体" w:eastAsia="仿宋_GB2312" w:cs="仿宋_GB2312"/>
          <w:i w:val="0"/>
          <w:iCs w:val="0"/>
          <w:caps w:val="0"/>
          <w:color w:val="000000"/>
          <w:spacing w:val="0"/>
          <w:sz w:val="31"/>
          <w:szCs w:val="31"/>
          <w:bdr w:val="none" w:color="auto" w:sz="0" w:space="0"/>
        </w:rPr>
        <w:t> </w:t>
      </w:r>
    </w:p>
    <w:tbl>
      <w:tblPr>
        <w:tblW w:w="77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435"/>
        <w:gridCol w:w="51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jc w:val="center"/>
        </w:trPr>
        <w:tc>
          <w:tcPr>
            <w:tcW w:w="7785" w:type="dxa"/>
            <w:gridSpan w:val="3"/>
            <w:tcBorders>
              <w:top w:val="nil"/>
              <w:left w:val="nil"/>
              <w:bottom w:val="nil"/>
              <w:right w:val="nil"/>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Style w:val="5"/>
                <w:rFonts w:ascii="Arial" w:hAnsi="Arial" w:cs="Arial"/>
                <w:color w:val="FF8080"/>
                <w:sz w:val="24"/>
                <w:szCs w:val="24"/>
                <w:bdr w:val="none" w:color="auto" w:sz="0" w:space="0"/>
              </w:rPr>
              <w:t>   </w:t>
            </w:r>
            <w:r>
              <w:rPr>
                <w:rStyle w:val="5"/>
                <w:rFonts w:hint="default" w:ascii="Arial" w:hAnsi="Arial" w:cs="Arial"/>
                <w:sz w:val="24"/>
                <w:szCs w:val="24"/>
                <w:bdr w:val="none" w:color="auto" w:sz="0" w:space="0"/>
              </w:rPr>
              <w:t>  政府信息公开情况统计表 </w:t>
            </w:r>
            <w:r>
              <w:rPr>
                <w:rStyle w:val="5"/>
                <w:rFonts w:hint="default" w:ascii="Arial" w:hAnsi="Arial" w:cs="Arial"/>
                <w:sz w:val="24"/>
                <w:szCs w:val="24"/>
                <w:bdr w:val="none" w:color="auto" w:sz="0" w:space="0"/>
              </w:rPr>
              <w:br w:type="textWrapping"/>
            </w:r>
            <w:r>
              <w:rPr>
                <w:rStyle w:val="5"/>
                <w:rFonts w:hint="default" w:ascii="Arial" w:hAnsi="Arial" w:cs="Arial"/>
                <w:sz w:val="24"/>
                <w:szCs w:val="24"/>
                <w:bdr w:val="none" w:color="auto" w:sz="0" w:space="0"/>
              </w:rPr>
              <w:t>（2017</w:t>
            </w:r>
            <w:r>
              <w:rPr>
                <w:rStyle w:val="5"/>
                <w:rFonts w:hint="eastAsia" w:ascii="宋体" w:hAnsi="宋体" w:eastAsia="宋体" w:cs="宋体"/>
                <w:sz w:val="24"/>
                <w:szCs w:val="24"/>
                <w:bdr w:val="none" w:color="auto" w:sz="0" w:space="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6435" w:type="dxa"/>
            <w:tcBorders>
              <w:top w:val="nil"/>
              <w:left w:val="nil"/>
              <w:bottom w:val="nil"/>
              <w:right w:val="nil"/>
            </w:tcBorders>
            <w:shd w:val="clear"/>
            <w:vAlign w:val="bottom"/>
          </w:tcPr>
          <w:p>
            <w:pPr>
              <w:keepNext w:val="0"/>
              <w:keepLines w:val="0"/>
              <w:widowControl/>
              <w:suppressLineNumbers w:val="0"/>
              <w:jc w:val="left"/>
              <w:rPr>
                <w:sz w:val="18"/>
                <w:szCs w:val="18"/>
              </w:rPr>
            </w:pPr>
          </w:p>
        </w:tc>
        <w:tc>
          <w:tcPr>
            <w:tcW w:w="510" w:type="dxa"/>
            <w:tcBorders>
              <w:top w:val="nil"/>
              <w:left w:val="nil"/>
              <w:bottom w:val="nil"/>
              <w:right w:val="nil"/>
            </w:tcBorders>
            <w:shd w:val="clear"/>
            <w:vAlign w:val="bottom"/>
          </w:tcPr>
          <w:p>
            <w:pPr>
              <w:keepNext w:val="0"/>
              <w:keepLines w:val="0"/>
              <w:widowControl/>
              <w:suppressLineNumbers w:val="0"/>
              <w:jc w:val="left"/>
              <w:rPr>
                <w:sz w:val="18"/>
                <w:szCs w:val="18"/>
              </w:rPr>
            </w:pPr>
          </w:p>
        </w:tc>
        <w:tc>
          <w:tcPr>
            <w:tcW w:w="840" w:type="dxa"/>
            <w:tcBorders>
              <w:top w:val="nil"/>
              <w:left w:val="nil"/>
              <w:bottom w:val="nil"/>
              <w:right w:val="nil"/>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single" w:color="000000" w:sz="6" w:space="0"/>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统 计 指 标</w:t>
            </w:r>
          </w:p>
        </w:tc>
        <w:tc>
          <w:tcPr>
            <w:tcW w:w="51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ascii="等线" w:hAnsi="等线" w:eastAsia="等线" w:cs="等线"/>
                <w:sz w:val="22"/>
                <w:szCs w:val="22"/>
                <w:bdr w:val="none" w:color="auto" w:sz="0" w:space="0"/>
              </w:rPr>
              <w:t>单位</w:t>
            </w:r>
          </w:p>
        </w:tc>
        <w:tc>
          <w:tcPr>
            <w:tcW w:w="840" w:type="dxa"/>
            <w:tcBorders>
              <w:top w:val="single" w:color="000000" w:sz="6" w:space="0"/>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一、主动公开情况</w:t>
            </w:r>
          </w:p>
        </w:tc>
        <w:tc>
          <w:tcPr>
            <w:tcW w:w="510" w:type="dxa"/>
            <w:tcBorders>
              <w:top w:val="nil"/>
              <w:left w:val="nil"/>
              <w:bottom w:val="nil"/>
              <w:right w:val="nil"/>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single" w:color="000000" w:sz="6" w:space="0"/>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（一）主动公开政府信息数（不同渠道和方式公开相同信息计1</w:t>
            </w:r>
            <w:r>
              <w:rPr>
                <w:rFonts w:hint="eastAsia" w:ascii="宋体" w:hAnsi="宋体" w:eastAsia="宋体" w:cs="宋体"/>
                <w:sz w:val="19"/>
                <w:szCs w:val="19"/>
                <w:bdr w:val="none" w:color="auto" w:sz="0" w:space="0"/>
              </w:rPr>
              <w:t>条）</w:t>
            </w:r>
          </w:p>
        </w:tc>
        <w:tc>
          <w:tcPr>
            <w:tcW w:w="51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其中：主动公开规范性文件数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制发规范性文件总数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（二）重点领域公开政府信息数（不同渠道和方式公开相同信息计1</w:t>
            </w:r>
            <w:r>
              <w:rPr>
                <w:rFonts w:hint="eastAsia" w:ascii="宋体" w:hAnsi="宋体" w:eastAsia="宋体" w:cs="宋体"/>
                <w:sz w:val="19"/>
                <w:szCs w:val="19"/>
                <w:bdr w:val="none" w:color="auto" w:sz="0" w:space="0"/>
              </w:rPr>
              <w:t>条）</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其中：主动公开财政预算决算、“</w:t>
            </w:r>
            <w:r>
              <w:rPr>
                <w:rFonts w:hint="eastAsia" w:ascii="宋体" w:hAnsi="宋体" w:eastAsia="宋体" w:cs="宋体"/>
                <w:sz w:val="19"/>
                <w:szCs w:val="19"/>
                <w:bdr w:val="none" w:color="auto" w:sz="0" w:space="0"/>
              </w:rPr>
              <w:t>三公经费</w:t>
            </w:r>
            <w:r>
              <w:rPr>
                <w:rFonts w:hint="default" w:ascii="Arial" w:hAnsi="Arial" w:cs="Arial"/>
                <w:sz w:val="19"/>
                <w:szCs w:val="19"/>
                <w:bdr w:val="none" w:color="auto" w:sz="0" w:space="0"/>
              </w:rPr>
              <w:t>”</w:t>
            </w:r>
            <w:r>
              <w:rPr>
                <w:rFonts w:hint="eastAsia" w:ascii="宋体" w:hAnsi="宋体" w:eastAsia="宋体" w:cs="宋体"/>
                <w:sz w:val="19"/>
                <w:szCs w:val="19"/>
                <w:bdr w:val="none" w:color="auto" w:sz="0" w:space="0"/>
              </w:rPr>
              <w:t>和行政经费信息数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主动公开保障性安居工程建设计划、项目开工和竣工情况，保障性住房的分配和退出等信息数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主动公开食品安全标准，食品生产经营许可、专项检查整治等信息数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主动公开环境核查审批、环境状况公报和重特大突发环境事件等信息数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主动公开招投标违法违规行为及处理情况、国有资金占控股或者主导地位依法应当招标的项目等信息数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主动公开生产安全事故的政府举措、处置进展、风险预警、防范措施等信息数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主动公开农用地转为建设用地批准、征收集体土地批准、征地公告征地补偿安置公示、集体土地征收结案等信息数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主动公开政府指导价、政府定价和收费标准调整的项目、价格、依据、执行时间和范围等信息数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主动公开本市企业信用信息系统中的警示信息和良好信息等信息数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主动公开政府部门预算执行审计结果等信息数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主动公开行政机关对与人民群众利益密切相关的公共企事业单位进行监督管理的信息数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主动公开市人民政府决定主动公开的其他信息数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（三）通过不同渠道和方式公开政府信息的情况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1.</w:t>
            </w:r>
            <w:r>
              <w:rPr>
                <w:rFonts w:hint="eastAsia" w:ascii="宋体" w:hAnsi="宋体" w:eastAsia="宋体" w:cs="宋体"/>
                <w:sz w:val="19"/>
                <w:szCs w:val="19"/>
                <w:bdr w:val="none" w:color="auto" w:sz="0" w:space="0"/>
              </w:rPr>
              <w:t>政府公报公开政府信息数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2.</w:t>
            </w:r>
            <w:r>
              <w:rPr>
                <w:rFonts w:hint="eastAsia" w:ascii="宋体" w:hAnsi="宋体" w:eastAsia="宋体" w:cs="宋体"/>
                <w:sz w:val="19"/>
                <w:szCs w:val="19"/>
                <w:bdr w:val="none" w:color="auto" w:sz="0" w:space="0"/>
              </w:rPr>
              <w:t>政府网站公开政府信息数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3.</w:t>
            </w:r>
            <w:r>
              <w:rPr>
                <w:rFonts w:hint="eastAsia" w:ascii="宋体" w:hAnsi="宋体" w:eastAsia="宋体" w:cs="宋体"/>
                <w:sz w:val="19"/>
                <w:szCs w:val="19"/>
                <w:bdr w:val="none" w:color="auto" w:sz="0" w:space="0"/>
              </w:rPr>
              <w:t>政务微博公开政府信息数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4.</w:t>
            </w:r>
            <w:r>
              <w:rPr>
                <w:rFonts w:hint="eastAsia" w:ascii="宋体" w:hAnsi="宋体" w:eastAsia="宋体" w:cs="宋体"/>
                <w:sz w:val="19"/>
                <w:szCs w:val="19"/>
                <w:bdr w:val="none" w:color="auto" w:sz="0" w:space="0"/>
              </w:rPr>
              <w:t>政务微信公开政府信息数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5.</w:t>
            </w:r>
            <w:r>
              <w:rPr>
                <w:rFonts w:hint="eastAsia" w:ascii="宋体" w:hAnsi="宋体" w:eastAsia="宋体" w:cs="宋体"/>
                <w:sz w:val="19"/>
                <w:szCs w:val="19"/>
                <w:bdr w:val="none" w:color="auto" w:sz="0" w:space="0"/>
              </w:rPr>
              <w:t>其他方式公开政府信息数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二、回应解读情况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（一）回应公众关注热点或重大舆情数（不同方式回应同一热点或舆情计1</w:t>
            </w:r>
            <w:r>
              <w:rPr>
                <w:rFonts w:hint="eastAsia" w:ascii="宋体" w:hAnsi="宋体" w:eastAsia="宋体" w:cs="宋体"/>
                <w:sz w:val="19"/>
                <w:szCs w:val="19"/>
                <w:bdr w:val="none" w:color="auto" w:sz="0" w:space="0"/>
              </w:rPr>
              <w:t>次）</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（二）通过不同渠道和方式回应解读的情况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1.</w:t>
            </w:r>
            <w:r>
              <w:rPr>
                <w:rFonts w:hint="eastAsia" w:ascii="宋体" w:hAnsi="宋体" w:eastAsia="宋体" w:cs="宋体"/>
                <w:sz w:val="19"/>
                <w:szCs w:val="19"/>
                <w:bdr w:val="none" w:color="auto" w:sz="0" w:space="0"/>
              </w:rPr>
              <w:t>参加或举办新闻发布会总次数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其中：主要负责同志参加新闻发布会次数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2.</w:t>
            </w:r>
            <w:r>
              <w:rPr>
                <w:rFonts w:hint="eastAsia" w:ascii="宋体" w:hAnsi="宋体" w:eastAsia="宋体" w:cs="宋体"/>
                <w:sz w:val="19"/>
                <w:szCs w:val="19"/>
                <w:bdr w:val="none" w:color="auto" w:sz="0" w:space="0"/>
              </w:rPr>
              <w:t>政府网站在线访谈次数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其中：主要负责同志参加政府网站在线访谈次数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3.</w:t>
            </w:r>
            <w:r>
              <w:rPr>
                <w:rFonts w:hint="eastAsia" w:ascii="宋体" w:hAnsi="宋体" w:eastAsia="宋体" w:cs="宋体"/>
                <w:sz w:val="19"/>
                <w:szCs w:val="19"/>
                <w:bdr w:val="none" w:color="auto" w:sz="0" w:space="0"/>
              </w:rPr>
              <w:t>政策解读稿件发布数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篇</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4.</w:t>
            </w:r>
            <w:r>
              <w:rPr>
                <w:rFonts w:hint="eastAsia" w:ascii="宋体" w:hAnsi="宋体" w:eastAsia="宋体" w:cs="宋体"/>
                <w:sz w:val="19"/>
                <w:szCs w:val="19"/>
                <w:bdr w:val="none" w:color="auto" w:sz="0" w:space="0"/>
              </w:rPr>
              <w:t>微博微信回应事件数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5.</w:t>
            </w:r>
            <w:r>
              <w:rPr>
                <w:rFonts w:hint="eastAsia" w:ascii="宋体" w:hAnsi="宋体" w:eastAsia="宋体" w:cs="宋体"/>
                <w:sz w:val="19"/>
                <w:szCs w:val="19"/>
                <w:bdr w:val="none" w:color="auto" w:sz="0" w:space="0"/>
              </w:rPr>
              <w:t>其他方式回应事件数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三、依申请公开情况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（一）收到申请数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1.</w:t>
            </w:r>
            <w:r>
              <w:rPr>
                <w:rFonts w:hint="eastAsia" w:ascii="宋体" w:hAnsi="宋体" w:eastAsia="宋体" w:cs="宋体"/>
                <w:sz w:val="19"/>
                <w:szCs w:val="19"/>
                <w:bdr w:val="none" w:color="auto" w:sz="0" w:space="0"/>
              </w:rPr>
              <w:t>当面申请数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2.</w:t>
            </w:r>
            <w:r>
              <w:rPr>
                <w:rFonts w:hint="eastAsia" w:ascii="宋体" w:hAnsi="宋体" w:eastAsia="宋体" w:cs="宋体"/>
                <w:sz w:val="19"/>
                <w:szCs w:val="19"/>
                <w:bdr w:val="none" w:color="auto" w:sz="0" w:space="0"/>
              </w:rPr>
              <w:t>传真申请数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3.</w:t>
            </w:r>
            <w:r>
              <w:rPr>
                <w:rFonts w:hint="eastAsia" w:ascii="宋体" w:hAnsi="宋体" w:eastAsia="宋体" w:cs="宋体"/>
                <w:sz w:val="19"/>
                <w:szCs w:val="19"/>
                <w:bdr w:val="none" w:color="auto" w:sz="0" w:space="0"/>
              </w:rPr>
              <w:t>网络申请数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4.</w:t>
            </w:r>
            <w:r>
              <w:rPr>
                <w:rFonts w:hint="eastAsia" w:ascii="宋体" w:hAnsi="宋体" w:eastAsia="宋体" w:cs="宋体"/>
                <w:sz w:val="19"/>
                <w:szCs w:val="19"/>
                <w:bdr w:val="none" w:color="auto" w:sz="0" w:space="0"/>
              </w:rPr>
              <w:t>信函申请数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（二）申请办结数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1.</w:t>
            </w:r>
            <w:r>
              <w:rPr>
                <w:rFonts w:hint="eastAsia" w:ascii="宋体" w:hAnsi="宋体" w:eastAsia="宋体" w:cs="宋体"/>
                <w:sz w:val="19"/>
                <w:szCs w:val="19"/>
                <w:bdr w:val="none" w:color="auto" w:sz="0" w:space="0"/>
              </w:rPr>
              <w:t>按时办结数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2.</w:t>
            </w:r>
            <w:r>
              <w:rPr>
                <w:rFonts w:hint="eastAsia" w:ascii="宋体" w:hAnsi="宋体" w:eastAsia="宋体" w:cs="宋体"/>
                <w:sz w:val="19"/>
                <w:szCs w:val="19"/>
                <w:bdr w:val="none" w:color="auto" w:sz="0" w:space="0"/>
              </w:rPr>
              <w:t>延期办结数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（三）申请答复数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1.</w:t>
            </w:r>
            <w:r>
              <w:rPr>
                <w:rFonts w:hint="eastAsia" w:ascii="宋体" w:hAnsi="宋体" w:eastAsia="宋体" w:cs="宋体"/>
                <w:sz w:val="19"/>
                <w:szCs w:val="19"/>
                <w:bdr w:val="none" w:color="auto" w:sz="0" w:space="0"/>
              </w:rPr>
              <w:t>属于已主动公开范围数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2.</w:t>
            </w:r>
            <w:r>
              <w:rPr>
                <w:rFonts w:hint="eastAsia" w:ascii="宋体" w:hAnsi="宋体" w:eastAsia="宋体" w:cs="宋体"/>
                <w:sz w:val="19"/>
                <w:szCs w:val="19"/>
                <w:bdr w:val="none" w:color="auto" w:sz="0" w:space="0"/>
              </w:rPr>
              <w:t>同意公开答复数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3.</w:t>
            </w:r>
            <w:r>
              <w:rPr>
                <w:rFonts w:hint="eastAsia" w:ascii="宋体" w:hAnsi="宋体" w:eastAsia="宋体" w:cs="宋体"/>
                <w:sz w:val="19"/>
                <w:szCs w:val="19"/>
                <w:bdr w:val="none" w:color="auto" w:sz="0" w:space="0"/>
              </w:rPr>
              <w:t>同意部分公开答复数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4.</w:t>
            </w:r>
            <w:r>
              <w:rPr>
                <w:rFonts w:hint="eastAsia" w:ascii="宋体" w:hAnsi="宋体" w:eastAsia="宋体" w:cs="宋体"/>
                <w:sz w:val="19"/>
                <w:szCs w:val="19"/>
                <w:bdr w:val="none" w:color="auto" w:sz="0" w:space="0"/>
              </w:rPr>
              <w:t>不同意公开答复数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其中：涉及国家秘密</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涉及商业秘密</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涉及个人隐私</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危及国家安全、公共安全、经济安全和社会稳定</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不是《条例》所指政府信息</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法律法规规定的其他情形</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5.</w:t>
            </w:r>
            <w:r>
              <w:rPr>
                <w:rFonts w:hint="eastAsia" w:ascii="宋体" w:hAnsi="宋体" w:eastAsia="宋体" w:cs="宋体"/>
                <w:sz w:val="19"/>
                <w:szCs w:val="19"/>
                <w:bdr w:val="none" w:color="auto" w:sz="0" w:space="0"/>
              </w:rPr>
              <w:t>不属于本行政机关公开数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6.</w:t>
            </w:r>
            <w:r>
              <w:rPr>
                <w:rFonts w:hint="eastAsia" w:ascii="宋体" w:hAnsi="宋体" w:eastAsia="宋体" w:cs="宋体"/>
                <w:sz w:val="19"/>
                <w:szCs w:val="19"/>
                <w:bdr w:val="none" w:color="auto" w:sz="0" w:space="0"/>
              </w:rPr>
              <w:t>申请信息不存在数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7.</w:t>
            </w:r>
            <w:r>
              <w:rPr>
                <w:rFonts w:hint="eastAsia" w:ascii="宋体" w:hAnsi="宋体" w:eastAsia="宋体" w:cs="宋体"/>
                <w:sz w:val="19"/>
                <w:szCs w:val="19"/>
                <w:bdr w:val="none" w:color="auto" w:sz="0" w:space="0"/>
              </w:rPr>
              <w:t>告知作出更改补充数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8.</w:t>
            </w:r>
            <w:r>
              <w:rPr>
                <w:rFonts w:hint="eastAsia" w:ascii="宋体" w:hAnsi="宋体" w:eastAsia="宋体" w:cs="宋体"/>
                <w:sz w:val="19"/>
                <w:szCs w:val="19"/>
                <w:bdr w:val="none" w:color="auto" w:sz="0" w:space="0"/>
              </w:rPr>
              <w:t>告知通过其他途径办理数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四、行政复议数量</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（一）维持具体行政行为数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（二）被依法纠错数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（三）其他情形数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五、行政诉讼数量</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（一）维持具体行政行为或者驳回原告诉讼请求数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（二）被依法纠错数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（三）其他情形数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六、举报投诉数量</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件</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七、依申请公开信息收取的费用</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bdr w:val="none" w:color="auto" w:sz="0" w:space="0"/>
              </w:rPr>
              <w:t>元</w:t>
            </w:r>
          </w:p>
        </w:tc>
        <w:tc>
          <w:tcPr>
            <w:tcW w:w="84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八、机构建设和保障经费情况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（一）政府信息公开工作专门机构数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个</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（二）设置政府信息公开查阅点数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个</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（三）从事政府信息公开工作人员数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bdr w:val="none" w:color="auto" w:sz="0" w:space="0"/>
              </w:rPr>
              <w:t>人</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1.</w:t>
            </w:r>
            <w:r>
              <w:rPr>
                <w:rFonts w:hint="eastAsia" w:ascii="宋体" w:hAnsi="宋体" w:eastAsia="宋体" w:cs="宋体"/>
                <w:sz w:val="19"/>
                <w:szCs w:val="19"/>
                <w:bdr w:val="none" w:color="auto" w:sz="0" w:space="0"/>
              </w:rPr>
              <w:t>专职人员数（不包括政府公报及政府网站工作人员数）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bdr w:val="none" w:color="auto" w:sz="0" w:space="0"/>
              </w:rPr>
              <w:t>人</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2.</w:t>
            </w:r>
            <w:r>
              <w:rPr>
                <w:rFonts w:hint="eastAsia" w:ascii="宋体" w:hAnsi="宋体" w:eastAsia="宋体" w:cs="宋体"/>
                <w:sz w:val="19"/>
                <w:szCs w:val="19"/>
                <w:bdr w:val="none" w:color="auto" w:sz="0" w:space="0"/>
              </w:rPr>
              <w:t>兼职人员数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bdr w:val="none" w:color="auto" w:sz="0" w:space="0"/>
              </w:rPr>
              <w:t>人</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（四）政府信息公开专项经费（不包括用于政府公报编辑管理及政府网站建设维护等方面的经费）</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bdr w:val="none" w:color="auto" w:sz="0" w:space="0"/>
              </w:rPr>
              <w:t>元</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九、政府信息公开会议和培训情况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（一）召开政府信息公开工作会议或专题会议数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（二）举办各类培训班数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bdr w:val="none" w:color="auto" w:sz="0" w:space="0"/>
              </w:rPr>
              <w:t>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   （三）接受培训人员数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bdr w:val="none" w:color="auto" w:sz="0" w:space="0"/>
              </w:rPr>
              <w:t>人次</w:t>
            </w:r>
          </w:p>
        </w:tc>
        <w:tc>
          <w:tcPr>
            <w:tcW w:w="84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bdr w:val="none" w:color="auto" w:sz="0" w:space="0"/>
              </w:rPr>
              <w:t>86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default" w:ascii="Times New Roman" w:hAnsi="Times New Roman" w:eastAsia="宋体"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C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2021-03-08T07:28:36Z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7FD6FE48847E4AC4877EF140DE45995C</vt:lpwstr>
  </property>
</Properties>
</file>