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bookmarkStart w:id="0" w:name="YS040100"/>
    </w:p>
    <w:bookmarkEnd w:id="0"/>
    <w:p>
      <w:pPr>
        <w:jc w:val="center"/>
        <w:rPr>
          <w:rFonts w:ascii="华文中宋" w:hAnsi="华文中宋" w:eastAsia="华文中宋" w:cs="黑体"/>
          <w:b/>
          <w:bCs/>
          <w:color w:val="000000"/>
          <w:sz w:val="36"/>
          <w:szCs w:val="32"/>
        </w:rPr>
      </w:pPr>
      <w:r>
        <w:rPr>
          <w:rFonts w:hint="eastAsia" w:ascii="华文中宋" w:hAnsi="华文中宋" w:eastAsia="华文中宋" w:cs="黑体"/>
          <w:b/>
          <w:bCs/>
          <w:color w:val="000000"/>
          <w:sz w:val="36"/>
          <w:szCs w:val="32"/>
        </w:rPr>
        <w:t>西城区总工会2019年度部门决算报表填报说明</w:t>
      </w: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一、决算信息来源说明</w:t>
      </w:r>
    </w:p>
    <w:p>
      <w:pPr>
        <w:ind w:firstLine="640" w:firstLineChars="200"/>
        <w:rPr>
          <w:rFonts w:ascii="仿宋_GB2312" w:hAnsi="仿宋" w:eastAsia="仿宋_GB2312" w:cs="仿宋"/>
          <w:bCs/>
          <w:color w:val="000000"/>
          <w:sz w:val="32"/>
          <w:szCs w:val="32"/>
        </w:rPr>
      </w:pPr>
      <w:r>
        <w:rPr>
          <w:rFonts w:hint="eastAsia" w:ascii="仿宋_GB2312" w:hAnsi="仿宋" w:eastAsia="仿宋_GB2312" w:cs="仿宋"/>
          <w:bCs/>
          <w:color w:val="000000"/>
          <w:sz w:val="32"/>
          <w:szCs w:val="32"/>
        </w:rPr>
        <w:t>本套决算依据本单位登记完整、核对无误的账簿记录和其他有关会计核算资料编制，账证相符、账实相符、账表相符、表表相符，真实、准确、完整地反映了本单位预算执行结果和财务状况。</w:t>
      </w:r>
    </w:p>
    <w:p>
      <w:pPr>
        <w:ind w:firstLine="640" w:firstLineChars="200"/>
        <w:rPr>
          <w:rFonts w:ascii="仿宋_GB2312" w:hAnsi="仿宋" w:eastAsia="仿宋_GB2312" w:cs="黑体"/>
          <w:color w:val="000000"/>
          <w:sz w:val="32"/>
          <w:szCs w:val="32"/>
        </w:rPr>
      </w:pPr>
      <w:r>
        <w:rPr>
          <w:rFonts w:hint="eastAsia" w:ascii="仿宋_GB2312" w:hAnsi="仿宋" w:eastAsia="仿宋_GB2312"/>
          <w:sz w:val="32"/>
          <w:szCs w:val="32"/>
        </w:rPr>
        <w:t>（一）本套决算主表数据主要依据本单位会计账簿总账及明细账数据填列，预算数据依据本单位预、决算批复文件及预算调整文件填列。</w:t>
      </w:r>
    </w:p>
    <w:p>
      <w:pPr>
        <w:ind w:firstLine="640" w:firstLineChars="200"/>
        <w:rPr>
          <w:rFonts w:ascii="仿宋_GB2312" w:hAnsi="仿宋" w:eastAsia="仿宋_GB2312"/>
          <w:sz w:val="32"/>
          <w:szCs w:val="32"/>
        </w:rPr>
      </w:pPr>
      <w:r>
        <w:rPr>
          <w:rFonts w:hint="eastAsia" w:ascii="仿宋_GB2312" w:hAnsi="仿宋" w:eastAsia="仿宋_GB2312"/>
          <w:sz w:val="32"/>
          <w:szCs w:val="32"/>
        </w:rPr>
        <w:t>（二）本套决算附表数据主要依据本单位会计账簿、资产、人事台账及相关资料填列。</w:t>
      </w:r>
    </w:p>
    <w:p>
      <w:pPr>
        <w:ind w:firstLine="640" w:firstLineChars="200"/>
        <w:rPr>
          <w:rFonts w:ascii="黑体" w:hAnsi="黑体" w:eastAsia="黑体" w:cs="黑体"/>
          <w:sz w:val="32"/>
          <w:szCs w:val="32"/>
        </w:rPr>
      </w:pPr>
      <w:r>
        <w:rPr>
          <w:rFonts w:hint="eastAsia" w:ascii="黑体" w:hAnsi="黑体" w:eastAsia="黑体" w:cs="黑体"/>
          <w:sz w:val="32"/>
          <w:szCs w:val="32"/>
        </w:rPr>
        <w:t>二、决算编制基本情况</w:t>
      </w:r>
    </w:p>
    <w:p>
      <w:pPr>
        <w:ind w:firstLine="480"/>
        <w:rPr>
          <w:rFonts w:hint="eastAsia" w:ascii="宋体" w:hAnsi="宋体" w:eastAsia="宋体" w:cs="宋体"/>
          <w:b/>
          <w:color w:val="000000"/>
          <w:sz w:val="32"/>
          <w:szCs w:val="32"/>
        </w:rPr>
      </w:pPr>
      <w:r>
        <w:rPr>
          <w:rFonts w:hint="eastAsia" w:ascii="宋体" w:hAnsi="宋体" w:eastAsia="宋体" w:cs="宋体"/>
          <w:b/>
          <w:color w:val="000000"/>
          <w:sz w:val="32"/>
          <w:szCs w:val="32"/>
        </w:rPr>
        <w:t>（一）部门主要职责及机构设置情况说明</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北京市西城区总工会是中共北京市西城区委和北京市总工会领导下的职工自愿结合的</w:t>
      </w:r>
      <w:r>
        <w:fldChar w:fldCharType="begin"/>
      </w:r>
      <w:r>
        <w:instrText xml:space="preserve"> HYPERLINK "http://baike.baidu.com/view/400954.htm" \t "_blank" </w:instrText>
      </w:r>
      <w:r>
        <w:fldChar w:fldCharType="separate"/>
      </w:r>
      <w:r>
        <w:rPr>
          <w:rFonts w:hint="eastAsia" w:ascii="仿宋_GB2312" w:eastAsia="仿宋_GB2312"/>
          <w:sz w:val="32"/>
          <w:szCs w:val="32"/>
        </w:rPr>
        <w:t>工人阶级</w:t>
      </w:r>
      <w:r>
        <w:rPr>
          <w:rFonts w:hint="eastAsia" w:ascii="仿宋_GB2312" w:eastAsia="仿宋_GB2312"/>
          <w:sz w:val="32"/>
          <w:szCs w:val="32"/>
        </w:rPr>
        <w:fldChar w:fldCharType="end"/>
      </w:r>
      <w:r>
        <w:rPr>
          <w:rFonts w:hint="eastAsia" w:ascii="仿宋_GB2312" w:eastAsia="仿宋_GB2312"/>
          <w:sz w:val="32"/>
          <w:szCs w:val="32"/>
        </w:rPr>
        <w:t>群众组织，是党联系职工群众的桥梁和纽带，是会员和职工利益的代表。西城区总工会机关内设7个部室，下属二级财政拨款的事业单位包括：西城区职工服务中心，西城区职工文化宫,西城区</w:t>
      </w:r>
      <w:r>
        <w:rPr>
          <w:rFonts w:hint="eastAsia" w:ascii="仿宋_GB2312" w:eastAsia="仿宋_GB2312"/>
          <w:sz w:val="32"/>
          <w:szCs w:val="32"/>
          <w:lang w:eastAsia="zh-CN"/>
        </w:rPr>
        <w:t>技术交流创新中心</w:t>
      </w:r>
      <w:r>
        <w:rPr>
          <w:rFonts w:hint="eastAsia" w:ascii="仿宋_GB2312" w:eastAsia="仿宋_GB2312"/>
          <w:sz w:val="32"/>
          <w:szCs w:val="32"/>
        </w:rPr>
        <w:t>。</w:t>
      </w:r>
    </w:p>
    <w:p>
      <w:pPr>
        <w:spacing w:line="360" w:lineRule="auto"/>
        <w:rPr>
          <w:rFonts w:ascii="仿宋_GB2312" w:eastAsia="仿宋_GB2312"/>
          <w:b/>
          <w:bCs/>
          <w:sz w:val="32"/>
          <w:szCs w:val="32"/>
        </w:rPr>
      </w:pPr>
      <w:r>
        <w:rPr>
          <w:rFonts w:hint="eastAsia" w:ascii="仿宋_GB2312" w:eastAsia="仿宋_GB2312"/>
          <w:b/>
          <w:bCs/>
          <w:sz w:val="32"/>
          <w:szCs w:val="32"/>
        </w:rPr>
        <w:t>北京市西城区总工会工作职责：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（一）贯彻执行党的路线、方针、政策，依照《中华人民共和国工会法》和《中国工会章程》开展工作。执行北京市西城区工会代表大会的决议，研究制定并组织实施本区工会工作的总体目标和主要任务。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（二）代表和维护本区职工的合法权益，指导基层工会组织履行职能；指导和帮助基层工会组织建立健全平等协商制度、集体合同制度，完善民主管理制度。</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（三）负责本区工会组织建设，指导新建企业组建工会，指导基层工会换届选举，推动社区工会建设。</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（四）监督和协调政府有关部门、企事业单位贯彻执行国家劳动安全卫生法律、法规，维护女职工的特殊利益；参与涉及职工切身利益的政策、制度、措施的制定，并对执行情况进行监督。</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（五）会同区人力资源和社会保障行政部门和企业方面代表建立劳动关系三方协商机制；指导和帮助基层工会参与劳动争议调解和劳动法律监督工作，为职工提供法律服务。</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（六）指导基层工会组织对职工进行职业教育和职业技能培训。</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（七）协助区政府进行全国和市级劳动模范、先进工作者的推荐和管理工作。</w:t>
      </w:r>
    </w:p>
    <w:p>
      <w:pPr>
        <w:spacing w:line="360" w:lineRule="auto"/>
        <w:ind w:firstLine="640" w:firstLineChars="200"/>
        <w:rPr>
          <w:rFonts w:ascii="仿宋_GB2312" w:eastAsia="仿宋_GB2312"/>
          <w:sz w:val="32"/>
          <w:szCs w:val="32"/>
        </w:rPr>
      </w:pPr>
      <w:r>
        <w:rPr>
          <w:rFonts w:hint="eastAsia" w:ascii="仿宋_GB2312" w:eastAsia="仿宋_GB2312"/>
          <w:sz w:val="32"/>
          <w:szCs w:val="32"/>
        </w:rPr>
        <w:t>（八）负责本区工会经费的收缴、管理、使用；负责本级和各直属基层工会的经费审查和资产的监督管理工作。</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（九）承办区委、区政府和上级业务指导部门交办的其他事项。</w:t>
      </w:r>
    </w:p>
    <w:p>
      <w:pPr>
        <w:spacing w:line="360" w:lineRule="auto"/>
        <w:rPr>
          <w:rFonts w:hint="eastAsia" w:ascii="仿宋_GB2312" w:eastAsia="仿宋_GB2312"/>
          <w:b/>
          <w:bCs/>
          <w:sz w:val="32"/>
          <w:szCs w:val="32"/>
        </w:rPr>
      </w:pPr>
      <w:r>
        <w:rPr>
          <w:rFonts w:hint="eastAsia" w:ascii="仿宋_GB2312" w:eastAsia="仿宋_GB2312"/>
          <w:b/>
          <w:bCs/>
          <w:sz w:val="32"/>
          <w:szCs w:val="32"/>
        </w:rPr>
        <w:t>北京市西城区总工会当年取得的主要事业成效：</w:t>
      </w:r>
    </w:p>
    <w:p>
      <w:pPr>
        <w:ind w:firstLine="640" w:firstLineChars="200"/>
        <w:rPr>
          <w:rFonts w:hint="eastAsia" w:ascii="仿宋_GB2312" w:hAnsi="仿宋" w:eastAsia="仿宋_GB2312"/>
          <w:sz w:val="32"/>
          <w:szCs w:val="32"/>
        </w:rPr>
      </w:pPr>
      <w:r>
        <w:rPr>
          <w:rFonts w:hint="eastAsia" w:ascii="仿宋_GB2312" w:eastAsia="仿宋_GB2312"/>
          <w:sz w:val="32"/>
          <w:szCs w:val="32"/>
        </w:rPr>
        <w:t>2019年以</w:t>
      </w:r>
      <w:r>
        <w:rPr>
          <w:rFonts w:hint="eastAsia" w:ascii="仿宋_GB2312" w:hAnsi="仿宋" w:eastAsia="仿宋_GB2312"/>
          <w:sz w:val="32"/>
          <w:szCs w:val="32"/>
        </w:rPr>
        <w:t>来，在区委和市总的正确领导下，全区各级工会以习近平新时代中国特色社会主义思想和党的十九大精神为指导，以迎接和庆祝中华人民共和国成立70周年为纲，深入学习贯彻党的十九届四中全会精神和习近</w:t>
      </w:r>
      <w:bookmarkStart w:id="1" w:name="_GoBack"/>
      <w:bookmarkEnd w:id="1"/>
      <w:r>
        <w:rPr>
          <w:rFonts w:hint="eastAsia" w:ascii="仿宋_GB2312" w:hAnsi="仿宋" w:eastAsia="仿宋_GB2312"/>
          <w:sz w:val="32"/>
          <w:szCs w:val="32"/>
        </w:rPr>
        <w:t>平总书记关于工人阶级和工会工作的重要论述，扎实开展“不忘初心、牢记使命”主题教育，全面贯彻落实中国工会十七大、北京市工会十四大精神，在</w:t>
      </w:r>
      <w:r>
        <w:rPr>
          <w:rFonts w:hint="eastAsia" w:ascii="仿宋_GB2312" w:hAnsi="仿宋" w:eastAsia="仿宋_GB2312"/>
          <w:b/>
          <w:sz w:val="32"/>
          <w:szCs w:val="32"/>
        </w:rPr>
        <w:t>充分发挥思想政治引领作用、圆满完成国庆服务保障任务、落实到位工会改革目标、迈出产业工人队伍建设步伐、持续深入开展建功立业活动、扎实有效维护职工合法权益、全面加强自身建设、竭诚服务职工群众等方面</w:t>
      </w:r>
      <w:r>
        <w:rPr>
          <w:rFonts w:hint="eastAsia" w:ascii="仿宋_GB2312" w:hAnsi="仿宋" w:eastAsia="仿宋_GB2312"/>
          <w:sz w:val="32"/>
          <w:szCs w:val="32"/>
        </w:rPr>
        <w:t>，做了大量的工作并取得了新的成效，为实现新时代西城高质量发展作出了贡献。</w:t>
      </w:r>
    </w:p>
    <w:p>
      <w:pPr>
        <w:ind w:firstLine="480"/>
        <w:rPr>
          <w:rFonts w:hint="eastAsia" w:ascii="宋体" w:hAnsi="宋体" w:eastAsia="宋体" w:cs="宋体"/>
          <w:b/>
          <w:color w:val="000000"/>
          <w:sz w:val="32"/>
          <w:szCs w:val="32"/>
        </w:rPr>
      </w:pPr>
      <w:r>
        <w:rPr>
          <w:rFonts w:hint="eastAsia" w:ascii="宋体" w:hAnsi="宋体" w:eastAsia="宋体" w:cs="宋体"/>
          <w:b/>
          <w:color w:val="000000"/>
          <w:sz w:val="32"/>
          <w:szCs w:val="32"/>
        </w:rPr>
        <w:t>（二）部门录入户数说明</w:t>
      </w:r>
    </w:p>
    <w:p>
      <w:pPr>
        <w:ind w:firstLine="567"/>
        <w:rPr>
          <w:rFonts w:ascii="仿宋_GB2312" w:hAnsi="仿宋" w:eastAsia="仿宋_GB2312" w:cs="仿宋"/>
          <w:bCs/>
          <w:sz w:val="32"/>
          <w:szCs w:val="32"/>
        </w:rPr>
      </w:pPr>
      <w:r>
        <w:rPr>
          <w:rFonts w:hint="eastAsia" w:ascii="仿宋_GB2312" w:hAnsi="仿宋" w:eastAsia="仿宋_GB2312" w:cs="仿宋"/>
          <w:bCs/>
          <w:sz w:val="32"/>
          <w:szCs w:val="32"/>
        </w:rPr>
        <w:t>本单位为</w:t>
      </w:r>
      <w:r>
        <w:rPr>
          <w:rFonts w:hint="eastAsia" w:ascii="仿宋_GB2312" w:hAnsi="仿宋" w:eastAsia="仿宋_GB2312" w:cs="仿宋"/>
          <w:bCs/>
          <w:sz w:val="32"/>
          <w:szCs w:val="32"/>
          <w:u w:val="single"/>
        </w:rPr>
        <w:t xml:space="preserve">    西城区总工会    </w:t>
      </w:r>
      <w:r>
        <w:rPr>
          <w:rFonts w:hint="eastAsia" w:ascii="仿宋_GB2312" w:hAnsi="仿宋" w:eastAsia="仿宋_GB2312" w:cs="仿宋"/>
          <w:bCs/>
          <w:sz w:val="32"/>
          <w:szCs w:val="32"/>
        </w:rPr>
        <w:t>所属</w:t>
      </w:r>
      <w:r>
        <w:rPr>
          <w:rFonts w:hint="eastAsia" w:ascii="仿宋_GB2312" w:hAnsi="仿宋" w:eastAsia="仿宋_GB2312" w:cs="仿宋"/>
          <w:bCs/>
          <w:sz w:val="32"/>
          <w:szCs w:val="32"/>
          <w:u w:val="single"/>
        </w:rPr>
        <w:t xml:space="preserve">  一    </w:t>
      </w:r>
      <w:r>
        <w:rPr>
          <w:rFonts w:hint="eastAsia" w:ascii="仿宋_GB2312" w:hAnsi="仿宋" w:eastAsia="仿宋_GB2312" w:cs="仿宋"/>
          <w:bCs/>
          <w:sz w:val="32"/>
          <w:szCs w:val="32"/>
        </w:rPr>
        <w:t>级</w:t>
      </w:r>
      <w:r>
        <w:rPr>
          <w:rFonts w:hint="eastAsia" w:ascii="仿宋_GB2312" w:hAnsi="仿宋" w:eastAsia="仿宋_GB2312" w:cs="仿宋"/>
          <w:bCs/>
          <w:spacing w:val="14"/>
          <w:sz w:val="32"/>
          <w:szCs w:val="32"/>
        </w:rPr>
        <w:t>预算单位，单位性质</w:t>
      </w:r>
      <w:r>
        <w:rPr>
          <w:rFonts w:hint="eastAsia" w:ascii="仿宋_GB2312" w:hAnsi="仿宋" w:eastAsia="仿宋_GB2312" w:cs="仿宋"/>
          <w:bCs/>
          <w:sz w:val="32"/>
          <w:szCs w:val="32"/>
        </w:rPr>
        <w:t>为</w:t>
      </w:r>
      <w:r>
        <w:rPr>
          <w:rFonts w:hint="eastAsia" w:ascii="仿宋_GB2312" w:hAnsi="仿宋" w:eastAsia="仿宋_GB2312" w:cs="仿宋"/>
          <w:bCs/>
          <w:sz w:val="32"/>
          <w:szCs w:val="32"/>
          <w:u w:val="single"/>
        </w:rPr>
        <w:t xml:space="preserve">    行政    </w:t>
      </w:r>
      <w:r>
        <w:rPr>
          <w:rFonts w:hint="eastAsia" w:ascii="仿宋_GB2312" w:hAnsi="仿宋" w:eastAsia="仿宋_GB2312" w:cs="仿宋"/>
          <w:bCs/>
          <w:sz w:val="32"/>
          <w:szCs w:val="32"/>
        </w:rPr>
        <w:t>单位，决算编报类型为</w:t>
      </w:r>
      <w:r>
        <w:rPr>
          <w:rFonts w:hint="eastAsia" w:ascii="仿宋_GB2312" w:hAnsi="仿宋" w:eastAsia="仿宋_GB2312" w:cs="仿宋"/>
          <w:bCs/>
          <w:sz w:val="32"/>
          <w:szCs w:val="32"/>
          <w:u w:val="single"/>
        </w:rPr>
        <w:t xml:space="preserve">    叠加汇总表，</w:t>
      </w:r>
      <w:r>
        <w:rPr>
          <w:rFonts w:hint="eastAsia" w:ascii="仿宋_GB2312" w:hAnsi="仿宋" w:eastAsia="仿宋_GB2312" w:cs="仿宋"/>
          <w:bCs/>
          <w:sz w:val="32"/>
          <w:szCs w:val="32"/>
        </w:rPr>
        <w:t>按照</w:t>
      </w:r>
      <w:r>
        <w:rPr>
          <w:rFonts w:hint="eastAsia" w:ascii="仿宋_GB2312" w:hAnsi="仿宋" w:eastAsia="仿宋_GB2312" w:cs="仿宋"/>
          <w:bCs/>
          <w:sz w:val="32"/>
          <w:szCs w:val="32"/>
          <w:u w:val="single"/>
        </w:rPr>
        <w:t xml:space="preserve">  政府会计制度   </w:t>
      </w:r>
      <w:r>
        <w:rPr>
          <w:rFonts w:hint="eastAsia" w:ascii="仿宋_GB2312" w:hAnsi="仿宋" w:eastAsia="仿宋_GB2312" w:cs="仿宋"/>
          <w:bCs/>
          <w:sz w:val="32"/>
          <w:szCs w:val="32"/>
        </w:rPr>
        <w:t>会计制度填报决算数据。</w:t>
      </w:r>
    </w:p>
    <w:p>
      <w:pPr>
        <w:ind w:firstLine="640" w:firstLineChars="200"/>
        <w:rPr>
          <w:rFonts w:ascii="黑体" w:hAnsi="Times New Roman" w:eastAsia="黑体" w:cs="黑体"/>
          <w:color w:val="000000"/>
          <w:sz w:val="32"/>
          <w:szCs w:val="32"/>
        </w:rPr>
      </w:pPr>
      <w:r>
        <w:rPr>
          <w:rFonts w:hint="eastAsia" w:ascii="仿宋_GB2312" w:hAnsi="仿宋" w:eastAsia="仿宋_GB2312" w:cs="仿宋"/>
          <w:bCs/>
          <w:sz w:val="32"/>
          <w:szCs w:val="32"/>
        </w:rPr>
        <w:t>纳入本套决算编制范围的独立核算单位共</w:t>
      </w:r>
      <w:r>
        <w:rPr>
          <w:rFonts w:hint="eastAsia" w:ascii="仿宋_GB2312" w:hAnsi="仿宋" w:eastAsia="仿宋_GB2312" w:cs="仿宋"/>
          <w:bCs/>
          <w:sz w:val="32"/>
          <w:szCs w:val="32"/>
          <w:u w:val="single"/>
        </w:rPr>
        <w:t xml:space="preserve">  2　</w:t>
      </w:r>
      <w:r>
        <w:rPr>
          <w:rFonts w:hint="eastAsia" w:ascii="仿宋_GB2312" w:hAnsi="仿宋" w:eastAsia="仿宋_GB2312" w:cs="仿宋"/>
          <w:bCs/>
          <w:sz w:val="32"/>
          <w:szCs w:val="32"/>
        </w:rPr>
        <w:t>个。比上年增减</w:t>
      </w:r>
      <w:r>
        <w:rPr>
          <w:rFonts w:hint="eastAsia" w:ascii="仿宋_GB2312" w:hAnsi="仿宋" w:eastAsia="仿宋_GB2312" w:cs="仿宋"/>
          <w:bCs/>
          <w:sz w:val="32"/>
          <w:szCs w:val="32"/>
          <w:u w:val="single"/>
        </w:rPr>
        <w:t xml:space="preserve">  0  </w:t>
      </w:r>
      <w:r>
        <w:rPr>
          <w:rFonts w:hint="eastAsia" w:ascii="仿宋_GB2312" w:hAnsi="仿宋" w:eastAsia="仿宋_GB2312" w:cs="仿宋"/>
          <w:bCs/>
          <w:sz w:val="32"/>
          <w:szCs w:val="32"/>
        </w:rPr>
        <w:t>个。</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三、基础数据核对情况</w:t>
      </w:r>
    </w:p>
    <w:p>
      <w:pPr>
        <w:ind w:firstLine="480"/>
        <w:rPr>
          <w:rFonts w:hint="eastAsia" w:ascii="宋体" w:hAnsi="宋体" w:eastAsia="宋体" w:cs="宋体"/>
          <w:b/>
          <w:color w:val="000000"/>
          <w:sz w:val="32"/>
          <w:szCs w:val="32"/>
        </w:rPr>
      </w:pPr>
      <w:r>
        <w:rPr>
          <w:rFonts w:hint="eastAsia" w:ascii="宋体" w:hAnsi="宋体" w:eastAsia="宋体" w:cs="宋体"/>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（1）单位本年度实际收到的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Times New Roman"/>
          <w:color w:val="000000"/>
          <w:sz w:val="32"/>
          <w:szCs w:val="32"/>
          <w:u w:val="single"/>
        </w:rPr>
        <w:t xml:space="preserve"> 1136.35 </w:t>
      </w:r>
      <w:r>
        <w:rPr>
          <w:rFonts w:hint="eastAsia" w:ascii="仿宋_GB2312" w:hAnsi="仿宋" w:eastAsia="仿宋_GB2312" w:cs="仿宋"/>
          <w:color w:val="000000"/>
          <w:sz w:val="32"/>
          <w:szCs w:val="32"/>
        </w:rPr>
        <w:t>万元，财政部门拨款对账单</w:t>
      </w:r>
      <w:r>
        <w:rPr>
          <w:rFonts w:hint="eastAsia" w:ascii="仿宋_GB2312" w:hAnsi="仿宋" w:eastAsia="仿宋_GB2312" w:cs="Times New Roman"/>
          <w:color w:val="000000"/>
          <w:sz w:val="32"/>
          <w:szCs w:val="32"/>
          <w:u w:val="single"/>
        </w:rPr>
        <w:t xml:space="preserve"> 1136.35 </w:t>
      </w:r>
      <w:r>
        <w:rPr>
          <w:rFonts w:hint="eastAsia" w:ascii="仿宋_GB2312" w:hAnsi="仿宋" w:eastAsia="仿宋_GB2312" w:cs="仿宋"/>
          <w:color w:val="000000"/>
          <w:sz w:val="32"/>
          <w:szCs w:val="32"/>
        </w:rPr>
        <w:t>万元，差额</w:t>
      </w:r>
      <w:r>
        <w:rPr>
          <w:rFonts w:hint="eastAsia" w:ascii="仿宋_GB2312" w:hAnsi="仿宋" w:eastAsia="仿宋_GB2312" w:cs="Times New Roman"/>
          <w:color w:val="000000"/>
          <w:sz w:val="32"/>
          <w:szCs w:val="32"/>
          <w:u w:val="single"/>
        </w:rPr>
        <w:t xml:space="preserve">  0</w:t>
      </w:r>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（2）单位本年度政府性基金预算财政拨款收入</w:t>
      </w:r>
      <w:r>
        <w:rPr>
          <w:rFonts w:hint="eastAsia" w:ascii="仿宋_GB2312" w:hAnsi="仿宋" w:eastAsia="仿宋_GB2312" w:cs="Times New Roman"/>
          <w:color w:val="000000"/>
          <w:sz w:val="32"/>
          <w:szCs w:val="32"/>
          <w:u w:val="single"/>
        </w:rPr>
        <w:t xml:space="preserve"> 0 </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rPr>
        <w:t>  0</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0</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40" w:firstLineChars="200"/>
        <w:rPr>
          <w:rFonts w:eastAsia="仿宋_GB2312"/>
          <w:color w:val="C00000"/>
        </w:rPr>
      </w:pPr>
      <w:r>
        <w:rPr>
          <w:rFonts w:hint="eastAsia" w:ascii="仿宋_GB2312" w:hAnsi="仿宋" w:eastAsia="仿宋_GB2312" w:cs="仿宋"/>
          <w:color w:val="000000"/>
          <w:sz w:val="32"/>
          <w:szCs w:val="32"/>
        </w:rPr>
        <w:t>1．全口径、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公共预算财政拨款和政府性基金预算财政拨款的结转和结余资金本年年初数与上年年末数一致</w:t>
      </w:r>
      <w:r>
        <w:rPr>
          <w:rFonts w:hint="eastAsia" w:ascii="仿宋_GB2312" w:hAnsi="仿宋" w:eastAsia="仿宋_GB2312" w:cs="仿宋"/>
          <w:sz w:val="32"/>
          <w:szCs w:val="32"/>
        </w:rPr>
        <w:t>、无归集上缴和缴回资金及单位内部调剂等情况。</w:t>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rPr>
        <w:t>2．主要指标上下年变动幅度超过20%，其中机构人员指标上下年有变动的，应具体核实并说明原因（附表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w:t>
      </w:r>
    </w:p>
    <w:p>
      <w:pPr>
        <w:ind w:firstLine="709"/>
        <w:rPr>
          <w:rFonts w:ascii="仿宋_GB2312" w:hAnsi="仿宋" w:eastAsia="仿宋_GB2312" w:cs="仿宋"/>
          <w:color w:val="000000"/>
          <w:sz w:val="32"/>
          <w:szCs w:val="32"/>
        </w:rPr>
      </w:pPr>
      <w:r>
        <w:rPr>
          <w:rFonts w:ascii="仿宋_GB2312" w:hAnsi="仿宋" w:eastAsia="仿宋_GB2312" w:cs="仿宋"/>
          <w:color w:val="000000"/>
          <w:sz w:val="32"/>
          <w:szCs w:val="32"/>
        </w:rPr>
        <w:drawing>
          <wp:inline distT="0" distB="0" distL="0" distR="0">
            <wp:extent cx="6410325" cy="4534535"/>
            <wp:effectExtent l="0" t="0" r="9525" b="18415"/>
            <wp:docPr id="1" name="图片 1" descr="59876ce2174df96b2d87dba89612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876ce2174df96b2d87dba89612475"/>
                    <pic:cNvPicPr>
                      <a:picLocks noChangeAspect="1" noChangeArrowheads="1"/>
                    </pic:cNvPicPr>
                  </pic:nvPicPr>
                  <pic:blipFill>
                    <a:blip r:embed="rId5" cstate="print"/>
                    <a:srcRect/>
                    <a:stretch>
                      <a:fillRect/>
                    </a:stretch>
                  </pic:blipFill>
                  <pic:spPr>
                    <a:xfrm>
                      <a:off x="0" y="0"/>
                      <a:ext cx="6410325" cy="4534535"/>
                    </a:xfrm>
                    <a:prstGeom prst="rect">
                      <a:avLst/>
                    </a:prstGeom>
                    <a:noFill/>
                    <a:ln w="9525">
                      <a:noFill/>
                      <a:miter lim="800000"/>
                      <a:headEnd/>
                      <a:tailEnd/>
                    </a:ln>
                  </pic:spPr>
                </pic:pic>
              </a:graphicData>
            </a:graphic>
          </wp:inline>
        </w:drawing>
      </w:r>
    </w:p>
    <w:p>
      <w:pPr>
        <w:ind w:firstLine="709"/>
        <w:rPr>
          <w:rFonts w:ascii="仿宋_GB2312" w:hAnsi="仿宋" w:eastAsia="仿宋_GB2312" w:cs="仿宋"/>
          <w:color w:val="000000"/>
          <w:sz w:val="32"/>
          <w:szCs w:val="32"/>
        </w:rPr>
      </w:pPr>
      <w:r>
        <w:rPr>
          <w:rFonts w:ascii="仿宋_GB2312" w:hAnsi="仿宋" w:eastAsia="仿宋_GB2312" w:cs="仿宋"/>
          <w:color w:val="000000"/>
          <w:sz w:val="32"/>
          <w:szCs w:val="32"/>
        </w:rPr>
        <w:drawing>
          <wp:inline distT="0" distB="0" distL="0" distR="0">
            <wp:extent cx="6296025" cy="4363085"/>
            <wp:effectExtent l="0" t="0" r="9525" b="18415"/>
            <wp:docPr id="2" name="图片 2" descr="9e295d3733257ba59df14c64c6878b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e295d3733257ba59df14c64c6878b8"/>
                    <pic:cNvPicPr>
                      <a:picLocks noChangeAspect="1" noChangeArrowheads="1"/>
                    </pic:cNvPicPr>
                  </pic:nvPicPr>
                  <pic:blipFill>
                    <a:blip r:embed="rId6" cstate="print"/>
                    <a:srcRect/>
                    <a:stretch>
                      <a:fillRect/>
                    </a:stretch>
                  </pic:blipFill>
                  <pic:spPr>
                    <a:xfrm>
                      <a:off x="0" y="0"/>
                      <a:ext cx="6296025" cy="4363085"/>
                    </a:xfrm>
                    <a:prstGeom prst="rect">
                      <a:avLst/>
                    </a:prstGeom>
                    <a:noFill/>
                    <a:ln w="9525">
                      <a:noFill/>
                      <a:miter lim="800000"/>
                      <a:headEnd/>
                      <a:tailEnd/>
                    </a:ln>
                  </pic:spPr>
                </pic:pic>
              </a:graphicData>
            </a:graphic>
          </wp:inline>
        </w:drawing>
      </w:r>
    </w:p>
    <w:p>
      <w:pPr>
        <w:ind w:firstLine="709"/>
        <w:rPr>
          <w:rFonts w:ascii="黑体" w:hAnsi="黑体" w:eastAsia="黑体" w:cs="黑体"/>
          <w:color w:val="000000"/>
          <w:sz w:val="32"/>
          <w:szCs w:val="32"/>
        </w:rPr>
      </w:pPr>
      <w:r>
        <w:rPr>
          <w:rFonts w:hint="eastAsia" w:ascii="仿宋_GB2312" w:eastAsia="仿宋_GB2312" w:cs="Times New Roman"/>
          <w:color w:val="000000"/>
          <w:sz w:val="32"/>
          <w:szCs w:val="32"/>
        </w:rPr>
        <w:t> </w:t>
      </w:r>
      <w:r>
        <w:rPr>
          <w:rFonts w:hint="eastAsia" w:ascii="黑体" w:hAnsi="黑体" w:eastAsia="黑体" w:cs="黑体"/>
          <w:color w:val="000000"/>
          <w:sz w:val="32"/>
          <w:szCs w:val="32"/>
        </w:rPr>
        <w:t>四、报表审核情况</w:t>
      </w:r>
    </w:p>
    <w:p>
      <w:pPr>
        <w:ind w:firstLine="709"/>
        <w:rPr>
          <w:rFonts w:ascii="仿宋_GB2312" w:hAnsi="仿宋" w:eastAsia="仿宋_GB2312" w:cs="仿宋"/>
          <w:sz w:val="32"/>
          <w:szCs w:val="32"/>
        </w:rPr>
      </w:pPr>
      <w:r>
        <w:rPr>
          <w:rFonts w:ascii="仿宋_GB2312" w:hAnsi="仿宋" w:eastAsia="仿宋_GB2312" w:cs="仿宋"/>
          <w:sz w:val="32"/>
          <w:szCs w:val="32"/>
        </w:rPr>
        <w:drawing>
          <wp:inline distT="0" distB="0" distL="0" distR="0">
            <wp:extent cx="5724525" cy="3289935"/>
            <wp:effectExtent l="0" t="0" r="9525" b="5715"/>
            <wp:docPr id="3" name="图片 3" descr="4ab33f3ec4fc46c1f5b46d394a3e7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ab33f3ec4fc46c1f5b46d394a3e7d1"/>
                    <pic:cNvPicPr>
                      <a:picLocks noChangeAspect="1" noChangeArrowheads="1"/>
                    </pic:cNvPicPr>
                  </pic:nvPicPr>
                  <pic:blipFill>
                    <a:blip r:embed="rId7" cstate="print"/>
                    <a:srcRect/>
                    <a:stretch>
                      <a:fillRect/>
                    </a:stretch>
                  </pic:blipFill>
                  <pic:spPr>
                    <a:xfrm>
                      <a:off x="0" y="0"/>
                      <a:ext cx="5724525" cy="3289935"/>
                    </a:xfrm>
                    <a:prstGeom prst="rect">
                      <a:avLst/>
                    </a:prstGeom>
                    <a:noFill/>
                    <a:ln w="9525">
                      <a:noFill/>
                      <a:miter lim="800000"/>
                      <a:headEnd/>
                      <a:tailEnd/>
                    </a:ln>
                  </pic:spPr>
                </pic:pic>
              </a:graphicData>
            </a:graphic>
          </wp:inline>
        </w:drawing>
      </w:r>
    </w:p>
    <w:p>
      <w:pPr>
        <w:ind w:firstLine="709"/>
        <w:rPr>
          <w:rFonts w:hint="eastAsia" w:ascii="黑体" w:hAnsi="黑体" w:eastAsia="黑体" w:cs="黑体"/>
          <w:sz w:val="32"/>
          <w:szCs w:val="32"/>
          <w:lang w:eastAsia="zh-CN"/>
        </w:rPr>
      </w:pPr>
      <w:r>
        <w:rPr>
          <w:rFonts w:hint="eastAsia" w:ascii="黑体" w:hAnsi="黑体" w:eastAsia="黑体" w:cs="黑体"/>
          <w:sz w:val="32"/>
          <w:szCs w:val="32"/>
        </w:rPr>
        <w:t>五、决算公开报表情况</w:t>
      </w:r>
      <w:r>
        <w:rPr>
          <w:rFonts w:hint="eastAsia" w:ascii="黑体" w:hAnsi="黑体" w:eastAsia="黑体" w:cs="黑体"/>
          <w:sz w:val="32"/>
          <w:szCs w:val="32"/>
          <w:lang w:eastAsia="zh-CN"/>
        </w:rPr>
        <w:t>（见附件决算表）</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1．收入支出决算总表</w:t>
      </w:r>
    </w:p>
    <w:p>
      <w:pPr>
        <w:ind w:firstLine="709"/>
        <w:rPr>
          <w:rFonts w:hint="eastAsia" w:ascii="仿宋_GB2312" w:hAnsi="仿宋" w:eastAsia="仿宋_GB2312" w:cs="仿宋"/>
          <w:sz w:val="32"/>
          <w:szCs w:val="32"/>
        </w:rPr>
      </w:pPr>
      <w:r>
        <w:rPr>
          <w:rFonts w:ascii="仿宋_GB2312" w:hAnsi="仿宋" w:eastAsia="仿宋_GB2312" w:cs="仿宋"/>
          <w:sz w:val="32"/>
          <w:szCs w:val="32"/>
        </w:rPr>
        <w:drawing>
          <wp:inline distT="0" distB="0" distL="0" distR="0">
            <wp:extent cx="5953125" cy="3286125"/>
            <wp:effectExtent l="0" t="0" r="9525" b="9525"/>
            <wp:docPr id="7" name="图片 5" descr="c2a224dfee57f01b64695cfc8ef85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c2a224dfee57f01b64695cfc8ef85af.png"/>
                    <pic:cNvPicPr>
                      <a:picLocks noChangeAspect="1"/>
                    </pic:cNvPicPr>
                  </pic:nvPicPr>
                  <pic:blipFill>
                    <a:blip r:embed="rId8" cstate="print"/>
                    <a:stretch>
                      <a:fillRect/>
                    </a:stretch>
                  </pic:blipFill>
                  <pic:spPr>
                    <a:xfrm>
                      <a:off x="0" y="0"/>
                      <a:ext cx="5955825" cy="3286125"/>
                    </a:xfrm>
                    <a:prstGeom prst="rect">
                      <a:avLst/>
                    </a:prstGeom>
                  </pic:spPr>
                </pic:pic>
              </a:graphicData>
            </a:graphic>
          </wp:inline>
        </w:drawing>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2.财政拨款收入支出决算总表</w:t>
      </w:r>
    </w:p>
    <w:p>
      <w:pPr>
        <w:ind w:firstLine="709"/>
        <w:rPr>
          <w:rFonts w:hint="eastAsia" w:ascii="仿宋_GB2312" w:hAnsi="仿宋" w:eastAsia="仿宋_GB2312" w:cs="仿宋"/>
          <w:sz w:val="32"/>
          <w:szCs w:val="32"/>
        </w:rPr>
      </w:pPr>
      <w:r>
        <w:rPr>
          <w:rFonts w:ascii="仿宋_GB2312" w:hAnsi="仿宋" w:eastAsia="仿宋_GB2312" w:cs="仿宋"/>
          <w:sz w:val="32"/>
          <w:szCs w:val="32"/>
        </w:rPr>
        <w:drawing>
          <wp:inline distT="0" distB="0" distL="0" distR="0">
            <wp:extent cx="5953125" cy="2733040"/>
            <wp:effectExtent l="0" t="0" r="9525" b="10160"/>
            <wp:docPr id="8" name="图片 1" descr="C:\Users\admin\Desktop\财政拨款收入支出决算总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C:\Users\admin\Desktop\财政拨款收入支出决算总表.png"/>
                    <pic:cNvPicPr>
                      <a:picLocks noChangeAspect="1" noChangeArrowheads="1"/>
                    </pic:cNvPicPr>
                  </pic:nvPicPr>
                  <pic:blipFill>
                    <a:blip r:embed="rId9" cstate="print"/>
                    <a:srcRect/>
                    <a:stretch>
                      <a:fillRect/>
                    </a:stretch>
                  </pic:blipFill>
                  <pic:spPr>
                    <a:xfrm>
                      <a:off x="0" y="0"/>
                      <a:ext cx="5960291" cy="2733040"/>
                    </a:xfrm>
                    <a:prstGeom prst="rect">
                      <a:avLst/>
                    </a:prstGeom>
                    <a:noFill/>
                    <a:ln w="9525">
                      <a:noFill/>
                      <a:miter lim="800000"/>
                      <a:headEnd/>
                      <a:tailEnd/>
                    </a:ln>
                  </pic:spPr>
                </pic:pic>
              </a:graphicData>
            </a:graphic>
          </wp:inline>
        </w:drawing>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3．收入决算表</w:t>
      </w:r>
    </w:p>
    <w:p>
      <w:pPr>
        <w:ind w:firstLine="709"/>
        <w:rPr>
          <w:rFonts w:hint="eastAsia" w:ascii="仿宋_GB2312" w:hAnsi="仿宋" w:eastAsia="仿宋_GB2312" w:cs="仿宋"/>
          <w:sz w:val="32"/>
          <w:szCs w:val="32"/>
        </w:rPr>
      </w:pPr>
      <w:r>
        <w:rPr>
          <w:rFonts w:ascii="仿宋_GB2312" w:hAnsi="仿宋" w:eastAsia="仿宋_GB2312" w:cs="仿宋"/>
          <w:sz w:val="32"/>
          <w:szCs w:val="32"/>
        </w:rPr>
        <w:drawing>
          <wp:inline distT="0" distB="0" distL="0" distR="0">
            <wp:extent cx="6019800" cy="3799840"/>
            <wp:effectExtent l="0" t="0" r="0" b="10160"/>
            <wp:docPr id="9" name="图片 2" descr="C:\Users\admin\Desktop\收入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C:\Users\admin\Desktop\收入决算表.png"/>
                    <pic:cNvPicPr>
                      <a:picLocks noChangeAspect="1" noChangeArrowheads="1"/>
                    </pic:cNvPicPr>
                  </pic:nvPicPr>
                  <pic:blipFill>
                    <a:blip r:embed="rId10" cstate="print"/>
                    <a:srcRect/>
                    <a:stretch>
                      <a:fillRect/>
                    </a:stretch>
                  </pic:blipFill>
                  <pic:spPr>
                    <a:xfrm>
                      <a:off x="0" y="0"/>
                      <a:ext cx="6027421" cy="3799840"/>
                    </a:xfrm>
                    <a:prstGeom prst="rect">
                      <a:avLst/>
                    </a:prstGeom>
                    <a:noFill/>
                    <a:ln w="9525">
                      <a:noFill/>
                      <a:miter lim="800000"/>
                      <a:headEnd/>
                      <a:tailEnd/>
                    </a:ln>
                  </pic:spPr>
                </pic:pic>
              </a:graphicData>
            </a:graphic>
          </wp:inline>
        </w:drawing>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4.支出决算表</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drawing>
          <wp:inline distT="0" distB="0" distL="0" distR="0">
            <wp:extent cx="6019800" cy="4333875"/>
            <wp:effectExtent l="0" t="0" r="0" b="9525"/>
            <wp:docPr id="10" name="图片 3" descr="C:\Users\admin\Desktop\支出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descr="C:\Users\admin\Desktop\支出决算表.png"/>
                    <pic:cNvPicPr>
                      <a:picLocks noChangeAspect="1" noChangeArrowheads="1"/>
                    </pic:cNvPicPr>
                  </pic:nvPicPr>
                  <pic:blipFill>
                    <a:blip r:embed="rId11" cstate="print"/>
                    <a:srcRect/>
                    <a:stretch>
                      <a:fillRect/>
                    </a:stretch>
                  </pic:blipFill>
                  <pic:spPr>
                    <a:xfrm>
                      <a:off x="0" y="0"/>
                      <a:ext cx="6019800" cy="4333875"/>
                    </a:xfrm>
                    <a:prstGeom prst="rect">
                      <a:avLst/>
                    </a:prstGeom>
                    <a:noFill/>
                    <a:ln w="9525">
                      <a:noFill/>
                      <a:miter lim="800000"/>
                      <a:headEnd/>
                      <a:tailEnd/>
                    </a:ln>
                  </pic:spPr>
                </pic:pic>
              </a:graphicData>
            </a:graphic>
          </wp:inline>
        </w:drawing>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5.一般公共预算财政拨款收入支出决算表</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drawing>
          <wp:inline distT="0" distB="0" distL="0" distR="0">
            <wp:extent cx="6019800" cy="4123690"/>
            <wp:effectExtent l="0" t="0" r="0" b="10160"/>
            <wp:docPr id="11" name="图片 4" descr="C:\Users\admin\Desktop\一般公共预算财政拨款收入支出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C:\Users\admin\Desktop\一般公共预算财政拨款收入支出决算表.png"/>
                    <pic:cNvPicPr>
                      <a:picLocks noChangeAspect="1" noChangeArrowheads="1"/>
                    </pic:cNvPicPr>
                  </pic:nvPicPr>
                  <pic:blipFill>
                    <a:blip r:embed="rId12" cstate="print"/>
                    <a:srcRect/>
                    <a:stretch>
                      <a:fillRect/>
                    </a:stretch>
                  </pic:blipFill>
                  <pic:spPr>
                    <a:xfrm>
                      <a:off x="0" y="0"/>
                      <a:ext cx="6019800" cy="4123690"/>
                    </a:xfrm>
                    <a:prstGeom prst="rect">
                      <a:avLst/>
                    </a:prstGeom>
                    <a:noFill/>
                    <a:ln w="9525">
                      <a:noFill/>
                      <a:miter lim="800000"/>
                      <a:headEnd/>
                      <a:tailEnd/>
                    </a:ln>
                  </pic:spPr>
                </pic:pic>
              </a:graphicData>
            </a:graphic>
          </wp:inline>
        </w:drawing>
      </w:r>
    </w:p>
    <w:p>
      <w:pPr>
        <w:ind w:firstLine="709"/>
        <w:rPr>
          <w:rFonts w:hint="eastAsia" w:ascii="仿宋_GB2312" w:hAnsi="仿宋" w:eastAsia="仿宋_GB2312" w:cs="仿宋"/>
          <w:sz w:val="32"/>
          <w:szCs w:val="32"/>
        </w:rPr>
      </w:pP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6.一般公共预算财政拨款支出决算明细表</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drawing>
          <wp:inline distT="0" distB="0" distL="0" distR="0">
            <wp:extent cx="5962650" cy="3095625"/>
            <wp:effectExtent l="0" t="0" r="0" b="9525"/>
            <wp:docPr id="12" name="图片 5" descr="C:\Users\admin\Desktop\一般公共预算财政拨款支出决算明细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descr="C:\Users\admin\Desktop\一般公共预算财政拨款支出决算明细表.png"/>
                    <pic:cNvPicPr>
                      <a:picLocks noChangeAspect="1" noChangeArrowheads="1"/>
                    </pic:cNvPicPr>
                  </pic:nvPicPr>
                  <pic:blipFill>
                    <a:blip r:embed="rId13" cstate="print"/>
                    <a:srcRect/>
                    <a:stretch>
                      <a:fillRect/>
                    </a:stretch>
                  </pic:blipFill>
                  <pic:spPr>
                    <a:xfrm>
                      <a:off x="0" y="0"/>
                      <a:ext cx="5962650" cy="3095625"/>
                    </a:xfrm>
                    <a:prstGeom prst="rect">
                      <a:avLst/>
                    </a:prstGeom>
                    <a:noFill/>
                    <a:ln w="9525">
                      <a:noFill/>
                      <a:miter lim="800000"/>
                      <a:headEnd/>
                      <a:tailEnd/>
                    </a:ln>
                  </pic:spPr>
                </pic:pic>
              </a:graphicData>
            </a:graphic>
          </wp:inline>
        </w:drawing>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7.一般公共预算财政拨款基本支出决算明细表</w:t>
      </w:r>
    </w:p>
    <w:p>
      <w:pPr>
        <w:ind w:firstLine="709"/>
        <w:rPr>
          <w:rFonts w:hint="eastAsia" w:ascii="仿宋_GB2312" w:hAnsi="仿宋" w:eastAsia="仿宋_GB2312" w:cs="仿宋"/>
          <w:sz w:val="32"/>
          <w:szCs w:val="32"/>
        </w:rPr>
      </w:pPr>
      <w:r>
        <w:rPr>
          <w:rFonts w:ascii="仿宋_GB2312" w:hAnsi="仿宋" w:eastAsia="仿宋_GB2312" w:cs="仿宋"/>
          <w:sz w:val="32"/>
          <w:szCs w:val="32"/>
        </w:rPr>
        <w:drawing>
          <wp:inline distT="0" distB="0" distL="0" distR="0">
            <wp:extent cx="5962650" cy="3333115"/>
            <wp:effectExtent l="0" t="0" r="0" b="635"/>
            <wp:docPr id="13" name="图片 6" descr="C:\Users\admin\Desktop\一般公共预算财政拨款基本支出决算明细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descr="C:\Users\admin\Desktop\一般公共预算财政拨款基本支出决算明细表.png"/>
                    <pic:cNvPicPr>
                      <a:picLocks noChangeAspect="1" noChangeArrowheads="1"/>
                    </pic:cNvPicPr>
                  </pic:nvPicPr>
                  <pic:blipFill>
                    <a:blip r:embed="rId14" cstate="print"/>
                    <a:srcRect/>
                    <a:stretch>
                      <a:fillRect/>
                    </a:stretch>
                  </pic:blipFill>
                  <pic:spPr>
                    <a:xfrm>
                      <a:off x="0" y="0"/>
                      <a:ext cx="5962650" cy="3333115"/>
                    </a:xfrm>
                    <a:prstGeom prst="rect">
                      <a:avLst/>
                    </a:prstGeom>
                    <a:noFill/>
                    <a:ln w="9525">
                      <a:noFill/>
                      <a:miter lim="800000"/>
                      <a:headEnd/>
                      <a:tailEnd/>
                    </a:ln>
                  </pic:spPr>
                </pic:pic>
              </a:graphicData>
            </a:graphic>
          </wp:inline>
        </w:drawing>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8.政府性基金预算财政拨款收入支出决算表</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drawing>
          <wp:inline distT="0" distB="0" distL="0" distR="0">
            <wp:extent cx="5962650" cy="2171065"/>
            <wp:effectExtent l="0" t="0" r="0" b="635"/>
            <wp:docPr id="14" name="图片 7" descr="C:\Users\admin\Desktop\政府性基金预算财政拨款收入支出决算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descr="C:\Users\admin\Desktop\政府性基金预算财政拨款收入支出决算表.png"/>
                    <pic:cNvPicPr>
                      <a:picLocks noChangeAspect="1" noChangeArrowheads="1"/>
                    </pic:cNvPicPr>
                  </pic:nvPicPr>
                  <pic:blipFill>
                    <a:blip r:embed="rId15" cstate="print"/>
                    <a:srcRect/>
                    <a:stretch>
                      <a:fillRect/>
                    </a:stretch>
                  </pic:blipFill>
                  <pic:spPr>
                    <a:xfrm>
                      <a:off x="0" y="0"/>
                      <a:ext cx="5962650" cy="2171065"/>
                    </a:xfrm>
                    <a:prstGeom prst="rect">
                      <a:avLst/>
                    </a:prstGeom>
                    <a:noFill/>
                    <a:ln w="9525">
                      <a:noFill/>
                      <a:miter lim="800000"/>
                      <a:headEnd/>
                      <a:tailEnd/>
                    </a:ln>
                  </pic:spPr>
                </pic:pic>
              </a:graphicData>
            </a:graphic>
          </wp:inline>
        </w:drawing>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9.政府性基金预算财政拨款基本支出决算明细表</w:t>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drawing>
          <wp:inline distT="0" distB="0" distL="0" distR="0">
            <wp:extent cx="5905500" cy="2219325"/>
            <wp:effectExtent l="0" t="0" r="0" b="9525"/>
            <wp:docPr id="15" name="图片 8" descr="C:\Users\admin\Desktop\政府性基金预算财政拨款基本支出决算明细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8" descr="C:\Users\admin\Desktop\政府性基金预算财政拨款基本支出决算明细表.png"/>
                    <pic:cNvPicPr>
                      <a:picLocks noChangeAspect="1" noChangeArrowheads="1"/>
                    </pic:cNvPicPr>
                  </pic:nvPicPr>
                  <pic:blipFill>
                    <a:blip r:embed="rId16" cstate="print"/>
                    <a:srcRect/>
                    <a:stretch>
                      <a:fillRect/>
                    </a:stretch>
                  </pic:blipFill>
                  <pic:spPr>
                    <a:xfrm>
                      <a:off x="0" y="0"/>
                      <a:ext cx="5905500" cy="2219325"/>
                    </a:xfrm>
                    <a:prstGeom prst="rect">
                      <a:avLst/>
                    </a:prstGeom>
                    <a:noFill/>
                    <a:ln w="9525">
                      <a:noFill/>
                      <a:miter lim="800000"/>
                      <a:headEnd/>
                      <a:tailEnd/>
                    </a:ln>
                  </pic:spPr>
                </pic:pic>
              </a:graphicData>
            </a:graphic>
          </wp:inline>
        </w:drawing>
      </w:r>
    </w:p>
    <w:p>
      <w:pPr>
        <w:ind w:firstLine="709"/>
        <w:rPr>
          <w:rFonts w:hint="eastAsia" w:ascii="仿宋_GB2312" w:hAnsi="仿宋" w:eastAsia="仿宋_GB2312" w:cs="仿宋"/>
          <w:sz w:val="32"/>
          <w:szCs w:val="32"/>
        </w:rPr>
      </w:pPr>
      <w:r>
        <w:rPr>
          <w:rFonts w:hint="eastAsia" w:ascii="仿宋_GB2312" w:hAnsi="仿宋" w:eastAsia="仿宋_GB2312" w:cs="仿宋"/>
          <w:sz w:val="32"/>
          <w:szCs w:val="32"/>
        </w:rPr>
        <w:t>10.政府购买服务情况表</w:t>
      </w:r>
    </w:p>
    <w:p>
      <w:pPr>
        <w:ind w:firstLine="709"/>
        <w:rPr>
          <w:rFonts w:hint="eastAsia" w:ascii="仿宋_GB2312" w:hAnsi="仿宋" w:eastAsia="仿宋_GB2312" w:cs="仿宋"/>
          <w:sz w:val="32"/>
          <w:szCs w:val="32"/>
        </w:rPr>
      </w:pPr>
      <w:r>
        <w:rPr>
          <w:rFonts w:ascii="仿宋_GB2312" w:hAnsi="仿宋" w:eastAsia="仿宋_GB2312" w:cs="仿宋"/>
          <w:sz w:val="32"/>
          <w:szCs w:val="32"/>
        </w:rPr>
        <w:drawing>
          <wp:inline distT="0" distB="0" distL="0" distR="0">
            <wp:extent cx="5904865" cy="1723390"/>
            <wp:effectExtent l="0" t="0" r="635" b="10160"/>
            <wp:docPr id="16" name="图片 9" descr="C:\Users\admin\Desktop\政府购买服务情况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9" descr="C:\Users\admin\Desktop\政府购买服务情况表.png"/>
                    <pic:cNvPicPr>
                      <a:picLocks noChangeAspect="1" noChangeArrowheads="1"/>
                    </pic:cNvPicPr>
                  </pic:nvPicPr>
                  <pic:blipFill>
                    <a:blip r:embed="rId17" cstate="print"/>
                    <a:srcRect/>
                    <a:stretch>
                      <a:fillRect/>
                    </a:stretch>
                  </pic:blipFill>
                  <pic:spPr>
                    <a:xfrm>
                      <a:off x="0" y="0"/>
                      <a:ext cx="5919855" cy="1723390"/>
                    </a:xfrm>
                    <a:prstGeom prst="rect">
                      <a:avLst/>
                    </a:prstGeom>
                    <a:noFill/>
                    <a:ln w="9525">
                      <a:noFill/>
                      <a:miter lim="800000"/>
                      <a:headEnd/>
                      <a:tailEnd/>
                    </a:ln>
                  </pic:spPr>
                </pic:pic>
              </a:graphicData>
            </a:graphic>
          </wp:inline>
        </w:drawing>
      </w:r>
    </w:p>
    <w:p>
      <w:pPr>
        <w:ind w:firstLine="709"/>
        <w:rPr>
          <w:rFonts w:ascii="仿宋_GB2312" w:hAnsi="仿宋" w:eastAsia="仿宋_GB2312" w:cs="仿宋"/>
          <w:color w:val="000000"/>
          <w:sz w:val="32"/>
          <w:szCs w:val="32"/>
        </w:rPr>
      </w:pPr>
      <w:r>
        <w:rPr>
          <w:rFonts w:hint="eastAsia" w:ascii="仿宋_GB2312" w:hAnsi="仿宋" w:eastAsia="仿宋_GB2312" w:cs="仿宋"/>
          <w:color w:val="000000"/>
          <w:sz w:val="32"/>
          <w:szCs w:val="32"/>
          <w:lang w:val="en-US" w:eastAsia="zh-CN"/>
        </w:rPr>
        <w:t>11</w:t>
      </w:r>
      <w:r>
        <w:rPr>
          <w:rFonts w:hint="eastAsia" w:ascii="仿宋_GB2312" w:hAnsi="仿宋" w:eastAsia="仿宋_GB2312" w:cs="仿宋"/>
          <w:color w:val="000000"/>
          <w:sz w:val="32"/>
          <w:szCs w:val="32"/>
        </w:rPr>
        <w:t>.“三公”经费总额及分项金额与年初预算数、上年决算数对比变动的原因说明，以及相关的公务用车购置及保有量、因公出国（境）团组数及人数和公务接待批次及人数等情况。</w:t>
      </w:r>
    </w:p>
    <w:p>
      <w:pPr>
        <w:ind w:firstLine="709"/>
        <w:rPr>
          <w:rFonts w:ascii="仿宋_GB2312" w:hAnsi="仿宋" w:eastAsia="仿宋_GB2312" w:cs="仿宋"/>
          <w:color w:val="000000"/>
          <w:sz w:val="32"/>
          <w:szCs w:val="32"/>
        </w:rPr>
      </w:pPr>
      <w:r>
        <w:rPr>
          <w:rFonts w:ascii="仿宋_GB2312" w:hAnsi="仿宋" w:eastAsia="仿宋_GB2312" w:cs="仿宋"/>
          <w:color w:val="000000"/>
          <w:sz w:val="32"/>
          <w:szCs w:val="32"/>
        </w:rPr>
        <w:drawing>
          <wp:inline distT="0" distB="0" distL="0" distR="0">
            <wp:extent cx="6362700" cy="3505200"/>
            <wp:effectExtent l="19050" t="0" r="0" b="0"/>
            <wp:docPr id="4" name="图片 4" descr="0e8c52e3e4d70c21046d963872cde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e8c52e3e4d70c21046d963872cde0b"/>
                    <pic:cNvPicPr>
                      <a:picLocks noChangeAspect="1" noChangeArrowheads="1"/>
                    </pic:cNvPicPr>
                  </pic:nvPicPr>
                  <pic:blipFill>
                    <a:blip r:embed="rId18" cstate="print"/>
                    <a:srcRect/>
                    <a:stretch>
                      <a:fillRect/>
                    </a:stretch>
                  </pic:blipFill>
                  <pic:spPr>
                    <a:xfrm>
                      <a:off x="0" y="0"/>
                      <a:ext cx="6362700" cy="3505200"/>
                    </a:xfrm>
                    <a:prstGeom prst="rect">
                      <a:avLst/>
                    </a:prstGeom>
                    <a:noFill/>
                    <a:ln w="9525">
                      <a:noFill/>
                      <a:miter lim="800000"/>
                      <a:headEnd/>
                      <a:tailEnd/>
                    </a:ln>
                  </pic:spPr>
                </pic:pic>
              </a:graphicData>
            </a:graphic>
          </wp:inline>
        </w:drawing>
      </w:r>
    </w:p>
    <w:p>
      <w:pPr>
        <w:ind w:firstLine="709"/>
        <w:rPr>
          <w:rFonts w:ascii="仿宋_GB2312" w:hAnsi="仿宋" w:eastAsia="仿宋_GB2312" w:cs="仿宋"/>
          <w:bCs/>
          <w:sz w:val="32"/>
          <w:szCs w:val="32"/>
        </w:rPr>
      </w:pPr>
      <w:r>
        <w:rPr>
          <w:rFonts w:hint="eastAsia" w:ascii="仿宋_GB2312" w:hAnsi="仿宋" w:eastAsia="仿宋_GB2312" w:cs="仿宋"/>
          <w:bCs/>
          <w:color w:val="000000"/>
          <w:sz w:val="32"/>
          <w:szCs w:val="32"/>
          <w:lang w:val="en-US" w:eastAsia="zh-CN"/>
        </w:rPr>
        <w:t>12</w:t>
      </w:r>
      <w:r>
        <w:rPr>
          <w:rFonts w:hint="eastAsia" w:ascii="仿宋_GB2312" w:hAnsi="仿宋" w:eastAsia="仿宋_GB2312" w:cs="仿宋"/>
          <w:bCs/>
          <w:color w:val="000000"/>
          <w:sz w:val="32"/>
          <w:szCs w:val="32"/>
        </w:rPr>
        <w:t>.行</w:t>
      </w:r>
      <w:r>
        <w:rPr>
          <w:rFonts w:hint="eastAsia" w:ascii="仿宋_GB2312" w:hAnsi="仿宋" w:eastAsia="仿宋_GB2312" w:cs="仿宋"/>
          <w:bCs/>
          <w:sz w:val="32"/>
          <w:szCs w:val="32"/>
        </w:rPr>
        <w:t>政单位、参照公务员法管理的事业单位机关运行经费支出情况，以及与上年数对比变动原因说明。</w:t>
      </w:r>
    </w:p>
    <w:p>
      <w:pPr>
        <w:ind w:firstLine="709"/>
        <w:rPr>
          <w:rFonts w:ascii="仿宋_GB2312" w:hAnsi="仿宋" w:eastAsia="仿宋_GB2312" w:cs="仿宋"/>
          <w:bCs/>
          <w:sz w:val="32"/>
          <w:szCs w:val="32"/>
        </w:rPr>
      </w:pPr>
      <w:r>
        <w:rPr>
          <w:rFonts w:ascii="仿宋_GB2312" w:hAnsi="仿宋" w:eastAsia="仿宋_GB2312" w:cs="仿宋"/>
          <w:bCs/>
          <w:sz w:val="32"/>
          <w:szCs w:val="32"/>
        </w:rPr>
        <w:drawing>
          <wp:inline distT="0" distB="0" distL="0" distR="0">
            <wp:extent cx="5810250" cy="4686300"/>
            <wp:effectExtent l="19050" t="0" r="0" b="0"/>
            <wp:docPr id="5" name="图片 5" descr="384d3bb4da53e6ab1069465a8a1b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84d3bb4da53e6ab1069465a8a1b767"/>
                    <pic:cNvPicPr>
                      <a:picLocks noChangeAspect="1" noChangeArrowheads="1"/>
                    </pic:cNvPicPr>
                  </pic:nvPicPr>
                  <pic:blipFill>
                    <a:blip r:embed="rId19" cstate="print"/>
                    <a:srcRect/>
                    <a:stretch>
                      <a:fillRect/>
                    </a:stretch>
                  </pic:blipFill>
                  <pic:spPr>
                    <a:xfrm>
                      <a:off x="0" y="0"/>
                      <a:ext cx="5810250" cy="4686300"/>
                    </a:xfrm>
                    <a:prstGeom prst="rect">
                      <a:avLst/>
                    </a:prstGeom>
                    <a:noFill/>
                    <a:ln w="9525">
                      <a:noFill/>
                      <a:miter lim="800000"/>
                      <a:headEnd/>
                      <a:tailEnd/>
                    </a:ln>
                  </pic:spPr>
                </pic:pic>
              </a:graphicData>
            </a:graphic>
          </wp:inline>
        </w:drawing>
      </w:r>
    </w:p>
    <w:p>
      <w:pPr>
        <w:ind w:firstLine="709"/>
        <w:rPr>
          <w:rFonts w:ascii="仿宋_GB2312" w:hAnsi="仿宋" w:eastAsia="仿宋_GB2312" w:cs="仿宋"/>
          <w:bCs/>
          <w:sz w:val="32"/>
          <w:szCs w:val="32"/>
        </w:rPr>
      </w:pPr>
      <w:r>
        <w:rPr>
          <w:rFonts w:hint="eastAsia" w:ascii="仿宋_GB2312" w:hAnsi="仿宋" w:eastAsia="仿宋_GB2312" w:cs="仿宋"/>
          <w:bCs/>
          <w:sz w:val="32"/>
          <w:szCs w:val="32"/>
          <w:lang w:val="en-US" w:eastAsia="zh-CN"/>
        </w:rPr>
        <w:t>13</w:t>
      </w:r>
      <w:r>
        <w:rPr>
          <w:rFonts w:hint="eastAsia" w:ascii="仿宋_GB2312" w:hAnsi="仿宋" w:eastAsia="仿宋_GB2312" w:cs="仿宋"/>
          <w:bCs/>
          <w:sz w:val="32"/>
          <w:szCs w:val="32"/>
        </w:rPr>
        <w:t>.政府采购支出情况，包括采购类型、采购规模和授予中小企业合同金额等。无</w:t>
      </w:r>
    </w:p>
    <w:p>
      <w:pPr>
        <w:ind w:firstLine="709"/>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绩效目标完成情况。</w:t>
      </w:r>
    </w:p>
    <w:p>
      <w:pPr>
        <w:ind w:firstLine="709"/>
        <w:rPr>
          <w:rFonts w:hint="eastAsia" w:ascii="仿宋_GB2312" w:hAnsi="仿宋" w:eastAsia="仿宋_GB2312" w:cs="仿宋"/>
          <w:bCs/>
          <w:sz w:val="32"/>
          <w:szCs w:val="32"/>
        </w:rPr>
      </w:pPr>
      <w:r>
        <w:rPr>
          <w:rFonts w:hint="eastAsia" w:ascii="仿宋_GB2312" w:hAnsi="仿宋" w:eastAsia="仿宋_GB2312" w:cs="仿宋"/>
          <w:bCs/>
          <w:sz w:val="32"/>
          <w:szCs w:val="32"/>
        </w:rPr>
        <w:t>西城区总工会以学习贯彻习近平新时代中国特色社会主义思想</w:t>
      </w:r>
      <w:r>
        <w:rPr>
          <w:rFonts w:hint="eastAsia" w:ascii="仿宋_GB2312" w:hAnsi="仿宋" w:eastAsia="仿宋_GB2312" w:cs="仿宋"/>
          <w:bCs/>
          <w:sz w:val="32"/>
          <w:szCs w:val="32"/>
          <w:lang w:val="en-US" w:eastAsia="zh-CN"/>
        </w:rPr>
        <w:t>和党的</w:t>
      </w:r>
      <w:r>
        <w:rPr>
          <w:rFonts w:hint="eastAsia" w:ascii="仿宋_GB2312" w:hAnsi="仿宋" w:eastAsia="仿宋_GB2312" w:cs="仿宋"/>
          <w:bCs/>
          <w:sz w:val="32"/>
          <w:szCs w:val="32"/>
        </w:rPr>
        <w:t>十九大精神作为主线，依托工会媒体和各项活动进行大力宣传党的路线方针政策，宣传北京市和西城区落实首都城市战略定位、推进京津冀协同发展、加快疏解非首都功能的举措，宣传工会深化改革、创新工作、走访和服务基层的成果，宣传广大职工贡献区域发展取得的突出业绩，形成全面的舆论宣传矩阵。通过认真、及时组织学习贯彻党的十九大精神专题报告会、座谈会，引导广大工会干部和职工深刻领会、准确把握党的十九大提出的新思想、新论断、新部署、新要求，切实把思想和行动统一到</w:t>
      </w:r>
      <w:r>
        <w:rPr>
          <w:rFonts w:hint="eastAsia" w:ascii="仿宋_GB2312" w:hAnsi="仿宋" w:eastAsia="仿宋_GB2312" w:cs="仿宋"/>
          <w:bCs/>
          <w:sz w:val="32"/>
          <w:szCs w:val="32"/>
          <w:lang w:val="en-US" w:eastAsia="zh-CN"/>
        </w:rPr>
        <w:t>习近平</w:t>
      </w:r>
      <w:r>
        <w:rPr>
          <w:rFonts w:hint="eastAsia" w:ascii="仿宋_GB2312" w:hAnsi="仿宋" w:eastAsia="仿宋_GB2312" w:cs="仿宋"/>
          <w:bCs/>
          <w:sz w:val="32"/>
          <w:szCs w:val="32"/>
        </w:rPr>
        <w:t>新时代中国特色社会主义思想</w:t>
      </w:r>
      <w:r>
        <w:rPr>
          <w:rFonts w:hint="eastAsia" w:ascii="仿宋_GB2312" w:hAnsi="仿宋" w:eastAsia="仿宋_GB2312" w:cs="仿宋"/>
          <w:bCs/>
          <w:sz w:val="32"/>
          <w:szCs w:val="32"/>
          <w:lang w:val="en-US" w:eastAsia="zh-CN"/>
        </w:rPr>
        <w:t>和</w:t>
      </w:r>
      <w:r>
        <w:rPr>
          <w:rFonts w:hint="eastAsia" w:ascii="仿宋_GB2312" w:hAnsi="仿宋" w:eastAsia="仿宋_GB2312" w:cs="仿宋"/>
          <w:bCs/>
          <w:sz w:val="32"/>
          <w:szCs w:val="32"/>
        </w:rPr>
        <w:t>党的十九大精神上来。</w:t>
      </w:r>
    </w:p>
    <w:p>
      <w:pPr>
        <w:ind w:firstLine="709"/>
        <w:rPr>
          <w:rFonts w:hint="eastAsia" w:ascii="仿宋_GB2312" w:hAnsi="仿宋" w:eastAsia="仿宋_GB2312" w:cs="仿宋"/>
          <w:bCs/>
          <w:sz w:val="32"/>
          <w:szCs w:val="32"/>
        </w:rPr>
      </w:pPr>
      <w:r>
        <w:rPr>
          <w:rFonts w:hint="eastAsia" w:ascii="仿宋_GB2312" w:hAnsi="仿宋" w:eastAsia="仿宋_GB2312" w:cs="仿宋"/>
          <w:bCs/>
          <w:sz w:val="32"/>
          <w:szCs w:val="32"/>
          <w:lang w:eastAsia="zh-CN"/>
        </w:rPr>
        <w:t>西城</w:t>
      </w:r>
      <w:r>
        <w:rPr>
          <w:rFonts w:hint="eastAsia" w:ascii="仿宋_GB2312" w:hAnsi="仿宋" w:eastAsia="仿宋_GB2312" w:cs="仿宋"/>
          <w:bCs/>
          <w:sz w:val="32"/>
          <w:szCs w:val="32"/>
        </w:rPr>
        <w:t>区总工会努力团结全区20余万会员职工，紧紧围绕全区工作大局与工会工作全局，坚持正确的宣传舆论导向，着力推进社会主义核心价值体系建设，大力弘扬工人阶级伟大品格和劳模精神，充分发挥工会大学校作用，不断提高职工素质，着力加强企业和职工文化建设，组织开展形式多样的文体活动，丰富职工群众文化生活。我们将继续深化职工精神家园的建设，为服务西城改革发展稳定大局汇集力量。</w:t>
      </w:r>
    </w:p>
    <w:p>
      <w:pPr>
        <w:ind w:firstLine="709"/>
        <w:rPr>
          <w:rFonts w:hint="eastAsia" w:ascii="仿宋_GB2312" w:hAnsi="仿宋" w:eastAsia="仿宋_GB2312" w:cs="仿宋"/>
          <w:bCs/>
          <w:sz w:val="32"/>
          <w:szCs w:val="32"/>
        </w:rPr>
      </w:pPr>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6</w:t>
    </w:r>
    <w:r>
      <w:rPr>
        <w:rFonts w:ascii="Arial" w:hAnsi="Arial" w:cs="Arial"/>
        <w:sz w:val="24"/>
        <w:szCs w:val="24"/>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3"/>
    <w:rsid w:val="000A1A07"/>
    <w:rsid w:val="00116A0F"/>
    <w:rsid w:val="00131C06"/>
    <w:rsid w:val="001A527B"/>
    <w:rsid w:val="001F33FC"/>
    <w:rsid w:val="002C0140"/>
    <w:rsid w:val="002C6963"/>
    <w:rsid w:val="002F7FA6"/>
    <w:rsid w:val="00301227"/>
    <w:rsid w:val="003221BA"/>
    <w:rsid w:val="003877C3"/>
    <w:rsid w:val="003E77FF"/>
    <w:rsid w:val="003F4A82"/>
    <w:rsid w:val="00447114"/>
    <w:rsid w:val="00453E7E"/>
    <w:rsid w:val="00522486"/>
    <w:rsid w:val="005502D5"/>
    <w:rsid w:val="00573D68"/>
    <w:rsid w:val="00576055"/>
    <w:rsid w:val="00591572"/>
    <w:rsid w:val="005C2A24"/>
    <w:rsid w:val="005D4791"/>
    <w:rsid w:val="00601750"/>
    <w:rsid w:val="00616EF1"/>
    <w:rsid w:val="006210EA"/>
    <w:rsid w:val="006231DE"/>
    <w:rsid w:val="00626041"/>
    <w:rsid w:val="0068308D"/>
    <w:rsid w:val="006B17A2"/>
    <w:rsid w:val="006E080A"/>
    <w:rsid w:val="007329D4"/>
    <w:rsid w:val="00760F51"/>
    <w:rsid w:val="007A5CB1"/>
    <w:rsid w:val="007C00B5"/>
    <w:rsid w:val="007E3198"/>
    <w:rsid w:val="00822C60"/>
    <w:rsid w:val="00827F23"/>
    <w:rsid w:val="008B4CF8"/>
    <w:rsid w:val="008D1A61"/>
    <w:rsid w:val="008E5B2B"/>
    <w:rsid w:val="00932E29"/>
    <w:rsid w:val="009E77A1"/>
    <w:rsid w:val="00AF40A1"/>
    <w:rsid w:val="00B363C4"/>
    <w:rsid w:val="00B4752F"/>
    <w:rsid w:val="00BB0B4D"/>
    <w:rsid w:val="00BD6CD3"/>
    <w:rsid w:val="00CC0317"/>
    <w:rsid w:val="00CC5D1C"/>
    <w:rsid w:val="00D20885"/>
    <w:rsid w:val="00D6432C"/>
    <w:rsid w:val="00DA1F66"/>
    <w:rsid w:val="00DA4E30"/>
    <w:rsid w:val="00E1090A"/>
    <w:rsid w:val="00E329F1"/>
    <w:rsid w:val="00E3701B"/>
    <w:rsid w:val="00EB18AC"/>
    <w:rsid w:val="00EE0CEF"/>
    <w:rsid w:val="00EE6450"/>
    <w:rsid w:val="00F07CE0"/>
    <w:rsid w:val="00F63A2E"/>
    <w:rsid w:val="00FC360F"/>
    <w:rsid w:val="00FE6666"/>
    <w:rsid w:val="0E5F15F8"/>
    <w:rsid w:val="0E8D72FF"/>
    <w:rsid w:val="11D51D34"/>
    <w:rsid w:val="12863EF6"/>
    <w:rsid w:val="15782B8B"/>
    <w:rsid w:val="17784E74"/>
    <w:rsid w:val="1A757130"/>
    <w:rsid w:val="224C2753"/>
    <w:rsid w:val="22657E82"/>
    <w:rsid w:val="24790FA9"/>
    <w:rsid w:val="27152366"/>
    <w:rsid w:val="2C4227BF"/>
    <w:rsid w:val="30A047F9"/>
    <w:rsid w:val="34D963E2"/>
    <w:rsid w:val="35BD5D3A"/>
    <w:rsid w:val="38007442"/>
    <w:rsid w:val="3AAE3851"/>
    <w:rsid w:val="42A33A00"/>
    <w:rsid w:val="45844C17"/>
    <w:rsid w:val="49201FD2"/>
    <w:rsid w:val="4BA312B6"/>
    <w:rsid w:val="4EE429A3"/>
    <w:rsid w:val="59A02E3A"/>
    <w:rsid w:val="5D521C1E"/>
    <w:rsid w:val="5E9B359B"/>
    <w:rsid w:val="5FE378E6"/>
    <w:rsid w:val="637A0AA0"/>
    <w:rsid w:val="69046524"/>
    <w:rsid w:val="765724D8"/>
    <w:rsid w:val="7780526A"/>
    <w:rsid w:val="790F65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name="Hyperlink"/>
    <w:lsdException w:qFormat="1" w:unhideWhenUsed="0"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rFonts w:cs="Times New Roman"/>
      <w:kern w:val="0"/>
      <w:sz w:val="18"/>
      <w:szCs w:val="18"/>
    </w:rPr>
  </w:style>
  <w:style w:type="paragraph" w:styleId="3">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character" w:styleId="7">
    <w:name w:val="FollowedHyperlink"/>
    <w:semiHidden/>
    <w:qFormat/>
    <w:uiPriority w:val="99"/>
    <w:rPr>
      <w:color w:val="800080"/>
      <w:u w:val="single"/>
    </w:rPr>
  </w:style>
  <w:style w:type="character" w:styleId="8">
    <w:name w:val="Hyperlink"/>
    <w:semiHidden/>
    <w:qFormat/>
    <w:uiPriority w:val="99"/>
    <w:rPr>
      <w:color w:val="0000FF"/>
      <w:u w:val="single"/>
    </w:rPr>
  </w:style>
  <w:style w:type="character" w:customStyle="1" w:styleId="9">
    <w:name w:val="页脚 Char"/>
    <w:basedOn w:val="6"/>
    <w:semiHidden/>
    <w:qFormat/>
    <w:uiPriority w:val="99"/>
    <w:rPr>
      <w:rFonts w:ascii="Calibri" w:hAnsi="Calibri" w:eastAsia="宋体" w:cs="Calibri"/>
      <w:sz w:val="18"/>
      <w:szCs w:val="18"/>
    </w:rPr>
  </w:style>
  <w:style w:type="character" w:customStyle="1" w:styleId="10">
    <w:name w:val="页脚 Char1"/>
    <w:link w:val="3"/>
    <w:qFormat/>
    <w:locked/>
    <w:uiPriority w:val="99"/>
    <w:rPr>
      <w:rFonts w:ascii="Times New Roman" w:hAnsi="Times New Roman" w:eastAsia="宋体" w:cs="Times New Roman"/>
      <w:kern w:val="0"/>
      <w:sz w:val="18"/>
      <w:szCs w:val="18"/>
    </w:rPr>
  </w:style>
  <w:style w:type="character" w:customStyle="1" w:styleId="11">
    <w:name w:val="页眉 Char"/>
    <w:basedOn w:val="6"/>
    <w:semiHidden/>
    <w:qFormat/>
    <w:uiPriority w:val="99"/>
    <w:rPr>
      <w:rFonts w:ascii="Calibri" w:hAnsi="Calibri" w:eastAsia="宋体" w:cs="Calibri"/>
      <w:sz w:val="18"/>
      <w:szCs w:val="18"/>
    </w:rPr>
  </w:style>
  <w:style w:type="character" w:customStyle="1" w:styleId="12">
    <w:name w:val="页眉 Char1"/>
    <w:link w:val="4"/>
    <w:qFormat/>
    <w:locked/>
    <w:uiPriority w:val="99"/>
    <w:rPr>
      <w:rFonts w:ascii="Times New Roman" w:hAnsi="Times New Roman" w:eastAsia="宋体" w:cs="Times New Roman"/>
      <w:kern w:val="0"/>
      <w:sz w:val="18"/>
      <w:szCs w:val="18"/>
    </w:rPr>
  </w:style>
  <w:style w:type="character" w:customStyle="1" w:styleId="13">
    <w:name w:val="apple-converted-space"/>
    <w:basedOn w:val="6"/>
    <w:qFormat/>
    <w:uiPriority w:val="99"/>
  </w:style>
  <w:style w:type="character" w:customStyle="1" w:styleId="14">
    <w:name w:val="批注框文本 Char"/>
    <w:basedOn w:val="6"/>
    <w:semiHidden/>
    <w:qFormat/>
    <w:uiPriority w:val="99"/>
    <w:rPr>
      <w:rFonts w:ascii="Calibri" w:hAnsi="Calibri" w:eastAsia="宋体" w:cs="Calibri"/>
      <w:sz w:val="18"/>
      <w:szCs w:val="18"/>
    </w:rPr>
  </w:style>
  <w:style w:type="character" w:customStyle="1" w:styleId="15">
    <w:name w:val="批注框文本 Char1"/>
    <w:link w:val="2"/>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344</Words>
  <Characters>1967</Characters>
  <Lines>16</Lines>
  <Paragraphs>4</Paragraphs>
  <TotalTime>1</TotalTime>
  <ScaleCrop>false</ScaleCrop>
  <LinksUpToDate>false</LinksUpToDate>
  <CharactersWithSpaces>2307</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2020-08-31T07:05:00Z</dcterms:created>
  <dc:creator>闻吉</dc:creator>
  <cp:lastModifiedBy>炫    飛</cp:lastModifiedBy>
  <cp:lastPrinted>2020-09-01T01:21:00Z</cp:lastPrinted>
  <dcterms:modified xsi:type="dcterms:W3CDTF">2021-03-22T07:03:47Z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CBB454CD45A84B62BC06D04E5D05A4F5</vt:lpwstr>
  </property>
</Properties>
</file>