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105" w:afterAutospacing="0" w:line="23" w:lineRule="atLeast"/>
        <w:ind w:left="0" w:firstLine="420"/>
        <w:jc w:val="center"/>
        <w:rPr>
          <w:rFonts w:hint="eastAsia" w:ascii="宋体" w:hAnsi="宋体" w:eastAsia="宋体" w:cs="宋体"/>
          <w:sz w:val="24"/>
          <w:szCs w:val="24"/>
        </w:rPr>
      </w:pPr>
      <w:r>
        <w:rPr>
          <w:rFonts w:hint="eastAsia" w:ascii="宋体" w:hAnsi="宋体" w:eastAsia="宋体" w:cs="宋体"/>
          <w:sz w:val="44"/>
          <w:szCs w:val="44"/>
        </w:rPr>
        <w:t>西城区广内街道</w:t>
      </w:r>
    </w:p>
    <w:p>
      <w:pPr>
        <w:pStyle w:val="2"/>
        <w:keepNext w:val="0"/>
        <w:keepLines w:val="0"/>
        <w:widowControl/>
        <w:suppressLineNumbers w:val="0"/>
        <w:spacing w:after="105" w:afterAutospacing="0" w:line="23" w:lineRule="atLeast"/>
        <w:ind w:left="0" w:firstLine="420"/>
        <w:jc w:val="center"/>
        <w:rPr>
          <w:rFonts w:hint="eastAsia" w:ascii="宋体" w:hAnsi="宋体" w:eastAsia="宋体" w:cs="宋体"/>
          <w:sz w:val="24"/>
          <w:szCs w:val="24"/>
        </w:rPr>
      </w:pPr>
      <w:r>
        <w:rPr>
          <w:rFonts w:hint="eastAsia" w:ascii="宋体" w:hAnsi="宋体" w:eastAsia="宋体" w:cs="宋体"/>
          <w:sz w:val="44"/>
          <w:szCs w:val="44"/>
        </w:rPr>
        <w:t>2018年政府信息公开工作年度报告</w:t>
      </w:r>
    </w:p>
    <w:p>
      <w:pPr>
        <w:pStyle w:val="2"/>
        <w:keepNext w:val="0"/>
        <w:keepLines w:val="0"/>
        <w:widowControl/>
        <w:suppressLineNumbers w:val="0"/>
        <w:spacing w:after="105" w:afterAutospacing="0" w:line="23" w:lineRule="atLeast"/>
        <w:ind w:left="0" w:firstLine="420"/>
        <w:jc w:val="center"/>
        <w:rPr>
          <w:rFonts w:hint="eastAsia" w:ascii="宋体" w:hAnsi="宋体" w:eastAsia="宋体" w:cs="宋体"/>
          <w:sz w:val="24"/>
          <w:szCs w:val="24"/>
        </w:rPr>
      </w:pPr>
      <w:r>
        <w:rPr>
          <w:rFonts w:hint="eastAsia" w:ascii="宋体" w:hAnsi="宋体" w:eastAsia="宋体" w:cs="宋体"/>
          <w:sz w:val="44"/>
          <w:szCs w:val="44"/>
        </w:rPr>
        <w:t>(2019年3月)</w:t>
      </w:r>
    </w:p>
    <w:p>
      <w:pPr>
        <w:pStyle w:val="2"/>
        <w:keepNext w:val="0"/>
        <w:keepLines w:val="0"/>
        <w:widowControl/>
        <w:suppressLineNumbers w:val="0"/>
        <w:spacing w:after="105" w:afterAutospacing="0" w:line="23" w:lineRule="atLeast"/>
        <w:ind w:left="0" w:firstLine="420"/>
        <w:jc w:val="center"/>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ascii="仿宋_GB2312" w:hAnsi="仿宋_GB2312" w:eastAsia="仿宋_GB2312" w:cs="仿宋_GB2312"/>
          <w:sz w:val="32"/>
          <w:szCs w:val="32"/>
        </w:rPr>
        <w:t>本报告是根据《中华人民共和国政府信息公开条例》(以下简称《条例》)</w:t>
      </w:r>
      <w:r>
        <w:rPr>
          <w:rFonts w:hint="eastAsia" w:ascii="仿宋_GB2312" w:hAnsi="仿宋_GB2312" w:eastAsia="仿宋_GB2312" w:cs="仿宋_GB2312"/>
          <w:sz w:val="32"/>
          <w:szCs w:val="32"/>
        </w:rPr>
        <w:t>和《北京市政府信息公开规定》要求,由西城区广安门内街道编制的2018年度政府信息公开年度报告。</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全文包括广内街道政府信息和政务公开2018年度重点工作情况、重点领域信息公开情况、信息公开数据、行政复议诉讼及举报情况、机构建设及培训保障情况、存在的不足及2019年重点工作等六大部分,涉及主动公开、回应解读、依申请公开(含不予公开、收费及减免)、行政复议、行政诉讼、举报等政府信息公开相关数据。</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本报告中所列数据的统计期限自2018年1月1日起,至2018年12月31日止。本报告的电子版可在西城区政府网站(http://www.bjxch.gov.cn)政府信息公开专栏上下载。如对本报告有任何疑问,请与西城区广安门内街道办事处信息公开办公室联系(地址:北京市西城区长椿街感化胡同3号院12号楼;邮编:100053;电话:010-83172767;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"mailto:gnjdbsc-xxgk@bjxch.gov.cn" </w:instrText>
      </w:r>
      <w:r>
        <w:rPr>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sz w:val="32"/>
          <w:szCs w:val="32"/>
        </w:rPr>
        <w:t>gnjdbsc-xxgk@bjxch.gov.cn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2018年,我街道按照《中华人民共和国政府信息公开条例》《北京市西城区2018年政务公开工作要点》等文件精神及区政府各项工作具体要求,街道政府信息公开工作稳步推进,为保障公民知情权、参与权和监督权,打造服务型、阳光型政府做出了积极的努力。</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ascii="黑体" w:hAnsi="宋体" w:eastAsia="黑体" w:cs="黑体"/>
          <w:sz w:val="32"/>
          <w:szCs w:val="32"/>
        </w:rPr>
        <w:t>一</w:t>
      </w:r>
      <w:r>
        <w:rPr>
          <w:rFonts w:hint="eastAsia" w:ascii="黑体" w:hAnsi="宋体" w:eastAsia="黑体" w:cs="黑体"/>
          <w:sz w:val="32"/>
          <w:szCs w:val="32"/>
        </w:rPr>
        <w:t>、年度重点工作情况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(一)“城市会客厅”月末通报会</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依托街区体验馆,组织广内街道“城市会客厅”月末通报会,由科室负责人向居民现场通报现有政策制度、治理举措、为民办实事、组织开展活动等情况。街道每个月月末开展一次,各社区每半月或一月开展一次。</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自8月30日第一次通报会启动以来,我街道2018年共组织通报会5次,通报议题涉及架空线入地、交通疏堵、</w:t>
      </w:r>
      <w:r>
        <w:rPr>
          <w:rFonts w:hint="eastAsia" w:ascii="仿宋_GB2312" w:hAnsi="仿宋_GB2312" w:eastAsia="仿宋_GB2312" w:cs="仿宋_GB2312"/>
          <w:sz w:val="32"/>
          <w:szCs w:val="32"/>
          <w:lang w:val="en-US" w:eastAsia="zh-CN"/>
        </w:rPr>
        <w:t>扫</w:t>
      </w:r>
      <w:bookmarkStart w:id="0" w:name="_GoBack"/>
      <w:bookmarkEnd w:id="0"/>
      <w:r>
        <w:rPr>
          <w:rFonts w:hint="eastAsia" w:ascii="仿宋_GB2312" w:hAnsi="仿宋_GB2312" w:eastAsia="仿宋_GB2312" w:cs="仿宋_GB2312"/>
          <w:sz w:val="32"/>
          <w:szCs w:val="32"/>
        </w:rPr>
        <w:t>黑除恶、大气治理、垃圾分类等方面,有力加强政民互动,搭建起居民了解街道工作的平台,吸引更多居民关注和了解街道重点工作,更好实现政务公开和政府、社会、居民间的良性互动,</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(二)会议开放</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2018年度街道组织完成了两次会议开放,街道一把手主持召开社区重点难点问题协调会和主任办公会,邀请地区人大代表、政协委员和社区居民代表参会,听取社区疑难问题办理、政府热线、城市管理等工作汇报并参与讨论,提出建议和意见。</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(三)政府开放日</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2018年度街道组织开展“政府开放日”一次,活动当日邀请了18位社区书记和10名社区居民代表走进全响应智慧平台,参观全响应街区治理中心运营情况,了解安全生产政府热线管理等情况。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10月9日,广内街道配合区政府政府开放日活动,组织报国寺社区“百姓论坛”30名居民参与西城区“政府开放日”活动,参观区委区政府总值班室、区城管监督指挥中心等部门,并围绕西城区“七五”普法议题,模拟召开区政府常务会,提升了公众参与度。</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(四)政府向公众报告</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2月1日,广内街道政府向公众报告会议暨第十六次社区代表大会隆重召开,街道办事处领导班子成员及科室负责人、地区管委会成员、地区人大代表和政协委员、社区居民代表等近200人参加了此次会议,街道办事处和相关职能部门向大会汇报了2017年工作开展整体情况。会议通报了2017年度社区居民代表满意度测评结果,居民代表对广内街道办事处的总体满意度达98.11%。在此次大会现场,广内派出所等10个职能部门在会场外的走廊里专门设立了咨询台,各职能部门主要负责人到场接受参会居民现场咨询或当面提意见建议。</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(五)民生工程民意立项工作</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持续推进民生工作民意立项,扩大公众参与事项范围,让公众更大程度参与到规划计划编制、重要政策措施制定、重大项目建设、重点民生实事办理等与公众利益密切相关的重点工作中,深化政府治理与居民自治的良性互动,提升行政管理的科学性、有效性。4月,城管科组织长椿街沿线居民150余人对长椿街沿线周边街区整理工作方案进行意见征集;年中,社会办组织核桃园、报国寺社区居民对华星大厦——广内街道文体活动中心功能设置进行意见征求;9月长椿里社区组织槐柏树街1号楼90户居民研讨楼道防盗门安装方案。据统计,2018年广内街道共开展了22个民意立项试点项目。</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(六)部门一把手接听政府热线</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7月27日上午,广内街道办事处主任走进12341区政府服务热线接听市民来电,共接听居民拨打的热线电话7个,反映问题涉及房屋老化、违建、城市管理、安全隐患等各个方面。对可解决的5件事项,按要求立刻落实,第一时间将办理结果反馈至来电人;对较为复杂的无法马上解决的安装电梯和楼道管线老化等问题,由办事处主任利用周末时间带领相关科室负责人进行实地查看,研究解决方案,并及时给予来电人合理答复。</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黑体" w:hAnsi="宋体" w:eastAsia="黑体" w:cs="黑体"/>
          <w:sz w:val="32"/>
          <w:szCs w:val="32"/>
        </w:rPr>
        <w:t>二、重点领域信息公开情况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我街道2018年发布重点领域公开政府信息数共计31条(不同渠道和方式公开相同信息计1条),具体情况如下:</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一)主动公开财政预算决算、“三公经费”和行政经费信息数5条。主要包括:2017年广内街道办事处(本级)决算公开、2017年广内街道社区服务中心决算公开、2017年广内街道社保所决算公开、2017年广内街道办事处决算公开汇总版,2018年广内街道办事处预算公开汇总版。</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(二)其他信息数26条,公共资源配置、重大建设项目批准和实施等领域无此类信息。</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黑体" w:hAnsi="宋体" w:eastAsia="黑体" w:cs="黑体"/>
          <w:sz w:val="32"/>
          <w:szCs w:val="32"/>
        </w:rPr>
        <w:t>三、信息公开数据</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我街道对政务公开网络平台内容进行动态管理,做到有变动即刻调整,确保公开链接准确、实效、适时、便民。4月中旬快速高效配合区公开办完成政务公开专栏新旧系统更替,手动迁移数据,实现内容更新;做好广内街道官网数据迁移、临时下线、专栏设置、清理整合等工作,响应区公开办“一区一网”的要求,目前我街道官网已永久下线。</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(一)主动公开情况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街道2018年主动公开政府信息数1053条(不同渠道和方式公开相同信息计1条)。主动公开规范性文件4件。重点领域公开政府信息数31条。其中,主动公开财政预算决算、“三公经费”和行政经费信息数5条。</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通过不同渠道和方式公开政府信息的情况,包括政府公报公开政府信息数0条;政府网站公开政府信息数1053条;政务微博公开政府信息数890条;政务微信公开政府信息数412条;其他方式公开政府信息数0条。</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2018年政府网站主动公开政府信息1053条,全文电子化率为100%。其中,机构职能类信息4条,占总体比例0.38%;法规文件类信息9条,占总体比例为0.85%;规划计划类信息10条,占总体的比例为0.95%;行政职责类信息38条,占总体的比例为3.61%;业务动态类信息992条,占总体的比例为94.21%。</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《广内之声》报刊作为群众了解政府运行的有力平台,2018年共印发47期48万余份,面向基层社区、居民、辖区内商业楼宇、离退休干部等免费发放。</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(二)回应解读情况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回应公众关注热点数或重大舆情数0次。通过不同渠道和方式回应解读的情况4次,包括,参加或举办新闻发布会总次数0次;政府网站在线访谈次数0次;政策解读稿件发布数0次;微博微信回应事件数4次;其他方式回应事件数0次。</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(三)依申请公开情况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1.申请情况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街道2018年度收到申请总数为4件。申请方式中,当面申请0件,占总数的0%;以传真形式申请0件,占总数的0%;通过网络提交申请1件,占总数的25%;以信函形式申请3件,占总数的75%。</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具体为:申请公开区政府委托办事处危房改造的相关文件的1件;申请公开广内街道公布2018年特困人员人数和资金支出及公开资金发放标准的相关材料的1件;申请公开《广内街道盗非治安警情整治措施方案》文件的1件,申请拆违手续公示的1件。申请内容较为分散,无公开申请数量居前的事项。</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2.答复情况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街道2018年度申请办结数4件,其中按时办结数4件,延期办结数0件。</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已答复的4项申请中:“属于已主动公开范围”1项,占总数的25%;“同意公开”1项,占总数的25%;“不属于本行政机关公开”1项,占总数的25%;“申请信息不存在”1项,占总数的25%。无答复“不予公开”的情况。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3.依申请公开政府信息收费情况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2018年广内街道依申请提供政府信息共收取检索、复印、邮递等成本费用共计0元。2018年广内街道对政府信息公开申请人减免收取检索、复印、邮递等成本费用共计0元。</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(四)2018年建议和提案办理结果情况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高度重视人大代表建议和政协提案办理工作,牢固树立法律意识、民主意识和服务意识,2018年,我街道共承接人大代表建议2件,承接政协委员提案4件。其中2件为主办件,1件单办件,3件会办件。内容涉及宣西大街22号楼、24号楼消防治安隐患,下斜街环境整治等。2件主办件和1件单办件中,主动公开的2件,不公开的1件,需主动公开的办理报告答复全文通过网站向社会公开。其他3件为会办件,我街道已配合主办单位开展工作并提供书面会办意见,具体答复情况和公开属性由主办单位负责。</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黑体" w:hAnsi="宋体" w:eastAsia="黑体" w:cs="黑体"/>
          <w:sz w:val="32"/>
          <w:szCs w:val="32"/>
        </w:rPr>
        <w:t>四、行政复议、诉讼及举报情况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(一)行政复议</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2018年,针对街道政府信息公开的行政复议数量0件。</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(二)行政诉讼</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2018年,针对街道政府信息公开的行政诉讼数量0件。</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(三)举报投诉</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2018年,针对街道政府信息公开的举报投诉数量0件。</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黑体" w:hAnsi="宋体" w:eastAsia="黑体" w:cs="黑体"/>
          <w:sz w:val="32"/>
          <w:szCs w:val="32"/>
        </w:rPr>
        <w:t>五、机构建设及培训保障情况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(一)机构及制度建设</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街道成立以办事处主任为组长的街道信息公开领导小组,领导小组下设信息公开办公室,作为常设办事机构,配备1名兼职工作人员,设立1个专门的信息申请受理点,开辟公共查阅点2处。本单位全年召开政府信息公开工作会议1次,听取信息公开办公室关于广内街道2018年政府信息与政务公开工作情况的汇报。街道不断建立完善政府信息公开工作的各项制度,如公文属性源头管理制度、微信公众号管理制度等,规范信息公开流程。</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(二)培训</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2018年,广内街道积极参加沙龙培训等业务提升工作,积极参加北京市以干代训工作,并邀请西城区人民法院行政庭法官为我街道全体干部进行依申请案例式法治培训讲座,共有149人参与培训,有效提高了公共服务水平。</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(三)政府信息公开经费投入情况</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我街道政务公开经费投入无法与其他一般性工作经费投入进行单独区分。</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黑体" w:hAnsi="宋体" w:eastAsia="黑体" w:cs="黑体"/>
          <w:sz w:val="32"/>
          <w:szCs w:val="32"/>
        </w:rPr>
        <w:t>六、存在的不足及2019年重点工作</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(一)存在的不足</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一是公众参与和政民互动有待加强,会议公开、政府开放日等公开制度有待完善,以实现会议公开制度化、常态化。</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二是需进一步规范依申请公开工作各环节流程,进一步总结梳理依申请公开工作中群众的疑问及诉求,集中回应解读。</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(二)2019年重点工作</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一是进一步深入做好政务公开制度建设,促进制度建设规范化。结合街道实际情况,进一步修改和完善会议开放、政府向公众报告、政府开放日等政务公开工作制度,实现决策、执行、管理、服务、结果全过程公开的制度化、流程化、规范化、常态化。</w:t>
      </w:r>
    </w:p>
    <w:p>
      <w:pPr>
        <w:pStyle w:val="2"/>
        <w:keepNext w:val="0"/>
        <w:keepLines w:val="0"/>
        <w:widowControl/>
        <w:suppressLineNumbers w:val="0"/>
        <w:spacing w:after="105" w:afterAutospacing="0" w:line="23" w:lineRule="atLeast"/>
        <w:ind w:left="0" w:firstLine="420"/>
        <w:rPr>
          <w:rFonts w:hint="eastAsia" w:ascii="宋体" w:hAnsi="宋体" w:eastAsia="宋体" w:cs="宋体"/>
          <w:sz w:val="24"/>
          <w:szCs w:val="24"/>
        </w:rPr>
      </w:pPr>
      <w:r>
        <w:rPr>
          <w:rFonts w:hint="eastAsia" w:ascii="仿宋_GB2312" w:hAnsi="仿宋_GB2312" w:eastAsia="仿宋_GB2312" w:cs="仿宋_GB2312"/>
          <w:sz w:val="32"/>
          <w:szCs w:val="32"/>
        </w:rPr>
        <w:t>二是进一步加强对依申请公开工作的重视程度,完善法律顾问等专业人士对依申请答复告知书的法制审查流程,确保答复的及时性、准确性、规范性、合法性。尝试探索依申请公开向主动公开转化、依申请公开典型案例收集总结、提炼促依法行政工作建议等创新工作。</w:t>
      </w:r>
    </w:p>
    <w:p/>
    <w:p/>
    <w:p/>
    <w:p/>
    <w:p/>
    <w:p/>
    <w:p/>
    <w:p/>
    <w:p/>
    <w:p/>
    <w:p/>
    <w:tbl>
      <w:tblPr>
        <w:tblStyle w:val="3"/>
        <w:tblW w:w="8336" w:type="dxa"/>
        <w:tblInd w:w="0" w:type="dxa"/>
        <w:shd w:val="clear" w:color="auto" w:fill="auto"/>
        <w:tblLayout w:type="fixed"/>
        <w:tblCellMar>
          <w:top w:w="0" w:type="dxa"/>
          <w:left w:w="0" w:type="dxa"/>
          <w:bottom w:w="0" w:type="dxa"/>
          <w:right w:w="0" w:type="dxa"/>
        </w:tblCellMar>
      </w:tblPr>
      <w:tblGrid>
        <w:gridCol w:w="7404"/>
        <w:gridCol w:w="328"/>
        <w:gridCol w:w="604"/>
      </w:tblGrid>
      <w:tr>
        <w:tblPrEx>
          <w:tblCellMar>
            <w:top w:w="0" w:type="dxa"/>
            <w:left w:w="0" w:type="dxa"/>
            <w:bottom w:w="0" w:type="dxa"/>
            <w:right w:w="0" w:type="dxa"/>
          </w:tblCellMar>
        </w:tblPrEx>
        <w:trPr>
          <w:trHeight w:val="800" w:hRule="atLeast"/>
        </w:trPr>
        <w:tc>
          <w:tcPr>
            <w:tcW w:w="8336"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cs="Arial"/>
                <w:b/>
                <w:i w:val="0"/>
                <w:color w:val="FF8080"/>
                <w:sz w:val="24"/>
                <w:szCs w:val="24"/>
                <w:u w:val="none"/>
              </w:rPr>
            </w:pPr>
            <w:r>
              <w:rPr>
                <w:rFonts w:hint="default" w:ascii="Arial" w:hAnsi="Arial" w:eastAsia="宋体" w:cs="Arial"/>
                <w:b/>
                <w:i w:val="0"/>
                <w:color w:val="FF8080"/>
                <w:kern w:val="0"/>
                <w:sz w:val="24"/>
                <w:szCs w:val="24"/>
                <w:u w:val="none"/>
                <w:lang w:val="en-US" w:eastAsia="zh-CN" w:bidi="ar"/>
              </w:rPr>
              <w:t xml:space="preserve">     政府信息公开情况统计表 </w:t>
            </w:r>
            <w:r>
              <w:rPr>
                <w:rFonts w:hint="default" w:ascii="Arial" w:hAnsi="Arial" w:eastAsia="宋体" w:cs="Arial"/>
                <w:b/>
                <w:i w:val="0"/>
                <w:color w:val="FF8080"/>
                <w:kern w:val="0"/>
                <w:sz w:val="24"/>
                <w:szCs w:val="24"/>
                <w:u w:val="none"/>
                <w:lang w:val="en-US" w:eastAsia="zh-CN" w:bidi="ar"/>
              </w:rPr>
              <w:br w:type="textWrapping"/>
            </w:r>
            <w:r>
              <w:rPr>
                <w:rFonts w:hint="default" w:ascii="Arial" w:hAnsi="Arial" w:eastAsia="宋体" w:cs="Arial"/>
                <w:b/>
                <w:i w:val="0"/>
                <w:color w:val="FF8080"/>
                <w:kern w:val="0"/>
                <w:sz w:val="24"/>
                <w:szCs w:val="24"/>
                <w:u w:val="none"/>
                <w:lang w:val="en-US" w:eastAsia="zh-CN" w:bidi="ar"/>
              </w:rPr>
              <w:t>（2018年度）</w:t>
            </w:r>
          </w:p>
        </w:tc>
      </w:tr>
      <w:tr>
        <w:tblPrEx>
          <w:shd w:val="clear" w:color="auto" w:fill="auto"/>
          <w:tblCellMar>
            <w:top w:w="0" w:type="dxa"/>
            <w:left w:w="0" w:type="dxa"/>
            <w:bottom w:w="0" w:type="dxa"/>
            <w:right w:w="0" w:type="dxa"/>
          </w:tblCellMar>
        </w:tblPrEx>
        <w:trPr>
          <w:trHeight w:val="255" w:hRule="atLeast"/>
        </w:trPr>
        <w:tc>
          <w:tcPr>
            <w:tcW w:w="75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等线" w:hAnsi="等线" w:eastAsia="等线" w:cs="等线"/>
                <w:b/>
                <w:i w:val="0"/>
                <w:color w:val="000000"/>
                <w:sz w:val="36"/>
                <w:szCs w:val="36"/>
                <w:u w:val="none"/>
              </w:rPr>
            </w:pPr>
          </w:p>
        </w:tc>
        <w:tc>
          <w:tcPr>
            <w:tcW w:w="432"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36"/>
                <w:szCs w:val="36"/>
                <w:u w:val="none"/>
              </w:rPr>
            </w:pPr>
          </w:p>
        </w:tc>
      </w:tr>
      <w:tr>
        <w:tblPrEx>
          <w:tblCellMar>
            <w:top w:w="0" w:type="dxa"/>
            <w:left w:w="0" w:type="dxa"/>
            <w:bottom w:w="0" w:type="dxa"/>
            <w:right w:w="0" w:type="dxa"/>
          </w:tblCellMar>
        </w:tblPrEx>
        <w:trPr>
          <w:trHeight w:val="285" w:hRule="atLeast"/>
        </w:trPr>
        <w:tc>
          <w:tcPr>
            <w:tcW w:w="75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5"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36"/>
                <w:szCs w:val="36"/>
                <w:u w:val="none"/>
              </w:rPr>
            </w:pPr>
          </w:p>
        </w:tc>
        <w:tc>
          <w:tcPr>
            <w:tcW w:w="432"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36"/>
                <w:szCs w:val="36"/>
                <w:u w:val="none"/>
              </w:rPr>
            </w:pPr>
          </w:p>
        </w:tc>
      </w:tr>
      <w:tr>
        <w:tblPrEx>
          <w:tblCellMar>
            <w:top w:w="0" w:type="dxa"/>
            <w:left w:w="0" w:type="dxa"/>
            <w:bottom w:w="0" w:type="dxa"/>
            <w:right w:w="0" w:type="dxa"/>
          </w:tblCellMar>
        </w:tblPrEx>
        <w:trPr>
          <w:trHeight w:val="255" w:hRule="atLeast"/>
        </w:trPr>
        <w:tc>
          <w:tcPr>
            <w:tcW w:w="75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5" w:type="dxa"/>
            <w:tcBorders>
              <w:top w:val="nil"/>
              <w:left w:val="nil"/>
              <w:bottom w:val="nil"/>
              <w:right w:val="nil"/>
            </w:tcBorders>
            <w:shd w:val="clear" w:color="auto" w:fill="FFFFFF"/>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432"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36"/>
                <w:szCs w:val="36"/>
                <w:u w:val="none"/>
              </w:rPr>
            </w:pPr>
          </w:p>
        </w:tc>
      </w:tr>
      <w:tr>
        <w:tblPrEx>
          <w:shd w:val="clear" w:color="auto" w:fill="auto"/>
          <w:tblCellMar>
            <w:top w:w="0" w:type="dxa"/>
            <w:left w:w="0" w:type="dxa"/>
            <w:bottom w:w="0" w:type="dxa"/>
            <w:right w:w="0" w:type="dxa"/>
          </w:tblCellMar>
        </w:tblPrEx>
        <w:trPr>
          <w:trHeight w:val="255" w:hRule="atLeast"/>
        </w:trPr>
        <w:tc>
          <w:tcPr>
            <w:tcW w:w="75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5"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36"/>
                <w:szCs w:val="36"/>
                <w:u w:val="none"/>
              </w:rPr>
            </w:pPr>
          </w:p>
        </w:tc>
        <w:tc>
          <w:tcPr>
            <w:tcW w:w="432"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36"/>
                <w:szCs w:val="36"/>
                <w:u w:val="none"/>
              </w:rPr>
            </w:pPr>
          </w:p>
        </w:tc>
      </w:tr>
      <w:tr>
        <w:tblPrEx>
          <w:shd w:val="clear" w:color="auto" w:fill="auto"/>
          <w:tblCellMar>
            <w:top w:w="0" w:type="dxa"/>
            <w:left w:w="0" w:type="dxa"/>
            <w:bottom w:w="0" w:type="dxa"/>
            <w:right w:w="0" w:type="dxa"/>
          </w:tblCellMar>
        </w:tblPrEx>
        <w:trPr>
          <w:trHeight w:val="255" w:hRule="atLeast"/>
        </w:trPr>
        <w:tc>
          <w:tcPr>
            <w:tcW w:w="756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填报单位（盖章）：广内街道办事处</w:t>
            </w:r>
          </w:p>
        </w:tc>
        <w:tc>
          <w:tcPr>
            <w:tcW w:w="335" w:type="dxa"/>
            <w:tcBorders>
              <w:top w:val="nil"/>
              <w:left w:val="nil"/>
              <w:bottom w:val="nil"/>
              <w:right w:val="nil"/>
            </w:tcBorders>
            <w:shd w:val="clear" w:color="auto" w:fill="FFFFFF"/>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616" w:type="dxa"/>
            <w:tcBorders>
              <w:top w:val="nil"/>
              <w:left w:val="nil"/>
              <w:bottom w:val="nil"/>
              <w:right w:val="nil"/>
            </w:tcBorders>
            <w:shd w:val="clear" w:color="auto" w:fill="FFFFFF"/>
            <w:noWrap/>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 计 指 标</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单位</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统计数</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一、主动公开情况</w:t>
            </w:r>
          </w:p>
        </w:tc>
        <w:tc>
          <w:tcPr>
            <w:tcW w:w="335" w:type="dxa"/>
            <w:tcBorders>
              <w:top w:val="nil"/>
              <w:left w:val="nil"/>
              <w:bottom w:val="nil"/>
              <w:right w:val="nil"/>
            </w:tcBorders>
            <w:shd w:val="clear" w:color="auto" w:fill="FFFFFF"/>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（一）主动公开政府信息数（不同渠道和方式公开相同信息计</w:t>
            </w:r>
            <w:r>
              <w:rPr>
                <w:rStyle w:val="7"/>
                <w:rFonts w:eastAsia="宋体"/>
                <w:lang w:val="en-US" w:eastAsia="zh-CN" w:bidi="ar"/>
              </w:rPr>
              <w:t>1</w:t>
            </w:r>
            <w:r>
              <w:rPr>
                <w:rStyle w:val="6"/>
                <w:lang w:val="en-US" w:eastAsia="zh-CN" w:bidi="ar"/>
              </w:rPr>
              <w:t>条）</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1053</w:t>
            </w:r>
          </w:p>
        </w:tc>
      </w:tr>
      <w:tr>
        <w:tblPrEx>
          <w:shd w:val="clear" w:color="auto" w:fill="auto"/>
          <w:tblCellMar>
            <w:top w:w="0" w:type="dxa"/>
            <w:left w:w="0" w:type="dxa"/>
            <w:bottom w:w="0" w:type="dxa"/>
            <w:right w:w="0" w:type="dxa"/>
          </w:tblCellMar>
        </w:tblPrEx>
        <w:trPr>
          <w:trHeight w:val="360"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其中：主动公开规范性文件数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制发规范性文件总数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（二）重点领域公开政府信息数（不同渠道和方式公开相同信息计1条）</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其中：主动公开财政预算决算、“三公经费”和行政经费信息数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主动公开保障性安居工程建设计划、项目开工和竣工情况，保障性住房的分配和退出等信息数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主动公开食品安全标准，食品生产经营许可、专项检查整治等信息数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主动公开环境核查审批、环境状况公报和重特大突发环境事件等信息数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主动公开招投标违法违规行为及处理情况、国有资金占控股或者主导地位依法应当招标的项目等信息数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主动公开生产安全事故的政府举措、处置进展、风险预警、防范措施等信息数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主动公开农用地转为建设用地批准、征收集体土地批准、征地公告征地补偿安置公示、集体土地征收结案等信息数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360"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主动公开政府指导价、政府定价和收费标准调整的项目、价格、依据、执行时间和范围等信息数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360"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主动公开本市企业信用信息系统中的警示信息和良好信息等信息数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主动公开政府部门预算执行审计结果等信息数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主动公开行政机关对与人民群众利益密切相关的公共企事业单位进行监督管理的信息数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主动公开市人民政府决定主动公开的其他信息数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（三）通过不同渠道和方式公开政府信息的情况</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w:hAnsi="Arial" w:cs="Arial"/>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1.政府公报公开政府信息数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2.政府网站公开政府信息数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1053</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3.政务微博公开政府信息数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4.政务微信公开政府信息数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412</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5.其他方式公开政府信息数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二、回应解读情况</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w:hAnsi="Arial" w:cs="Arial"/>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（一）回应公众关注热点或重大舆情数（不同方式回应同一热点或舆情计1次）</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（二）通过不同渠道和方式回应解读的情况</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w:hAnsi="Arial" w:cs="Arial"/>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1.参加或举办新闻发布会总次数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其中：主要负责同志参加新闻发布会次数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2.政府网站在线访谈次数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其中：主要负责同志参加政府网站在线访谈次数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3.政策解读稿件发布数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篇</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4.微博微信回应事件数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5.其他方式回应事件数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三、依申请公开情况</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w:hAnsi="Arial" w:cs="Arial"/>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（一）收到申请数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1.当面申请数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2.传真申请数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3.网络申请数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4.信函申请数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（二）申请办结数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1.按时办结数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2.延期办结数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（三）申请答复数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1.属于已主动公开范围数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2.同意公开答复数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3.同意部分公开答复数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4.不同意公开答复数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其中：涉及国家秘密</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涉及商业秘密</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涉及个人隐私</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危及国家安全、公共安全、经济安全和社会稳定</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不是《条例》所指政府信息</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法律法规规定的其他情形</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5.不属于本行政机关公开数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6.申请信息不存在数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7.告知作出更改补充数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8.告知通过其他途径办理数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四、行政复议数量</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五、行政诉讼数量</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0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（一）维持具体行政行为或者驳回原告诉讼请求数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六、举报投诉数量</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七、依申请公开信息收取的费用</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八、机构建设和保障经费情况</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w:hAnsi="Arial" w:cs="Arial"/>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（一）政府信息公开工作专门机构数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（二）设置政府信息公开查阅点数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（三）从事政府信息公开工作人员数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1.专职人员数（不包括政府公报及政府网站工作人员数）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2.兼职人员数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（四）政府信息公开专项经费（不包括用于政府公报编辑管理及政府网站建设维护等方面的经费）</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九、政府信息公开会议和培训情况</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w:hAnsi="Arial" w:cs="Arial"/>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（一）召开政府信息公开工作会议或专题会议数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（二）举办各类培训班数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435" w:hRule="atLeast"/>
        </w:trPr>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（三）接受培训人员数</w:t>
            </w:r>
          </w:p>
        </w:tc>
        <w:tc>
          <w:tcPr>
            <w:tcW w:w="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5402A"/>
    <w:rsid w:val="2331535E"/>
    <w:rsid w:val="5F0024C6"/>
    <w:rsid w:val="62C540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 w:type="character" w:customStyle="1" w:styleId="6">
    <w:name w:val="font21"/>
    <w:basedOn w:val="4"/>
    <w:uiPriority w:val="0"/>
    <w:rPr>
      <w:rFonts w:hint="eastAsia" w:ascii="宋体" w:hAnsi="宋体" w:eastAsia="宋体" w:cs="宋体"/>
      <w:color w:val="000000"/>
      <w:sz w:val="20"/>
      <w:szCs w:val="20"/>
      <w:u w:val="none"/>
    </w:rPr>
  </w:style>
  <w:style w:type="character" w:customStyle="1" w:styleId="7">
    <w:name w:val="font01"/>
    <w:basedOn w:val="4"/>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2019-12-20T02:29:00Z</dcterms:created>
  <dc:creator>美xia</dc:creator>
  <cp:lastModifiedBy>炫    飛</cp:lastModifiedBy>
  <dcterms:modified xsi:type="dcterms:W3CDTF">2021-04-29T09:05:24Z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1F5110AF921D4E05A4B2F90008583DE6</vt:lpwstr>
  </property>
</Properties>
</file>