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hint="eastAsia" w:ascii="宋体" w:hAnsi="宋体" w:eastAsia="宋体" w:cs="宋体"/>
          <w:b/>
          <w:bCs/>
          <w:i w:val="0"/>
          <w:iCs w:val="0"/>
          <w:caps w:val="0"/>
          <w:color w:val="000000"/>
          <w:spacing w:val="0"/>
          <w:sz w:val="36"/>
          <w:szCs w:val="36"/>
        </w:rPr>
      </w:pPr>
      <w:r>
        <w:rPr>
          <w:rFonts w:hint="eastAsia" w:ascii="宋体" w:hAnsi="宋体" w:eastAsia="宋体" w:cs="宋体"/>
          <w:b/>
          <w:bCs/>
          <w:i w:val="0"/>
          <w:iCs w:val="0"/>
          <w:caps w:val="0"/>
          <w:color w:val="000000"/>
          <w:spacing w:val="0"/>
          <w:sz w:val="36"/>
          <w:szCs w:val="36"/>
        </w:rPr>
        <w:t>2016年西城区安全生产监督管理局政府信息公开年度报告</w:t>
      </w:r>
    </w:p>
    <w:p>
      <w:pPr>
        <w:keepNext w:val="0"/>
        <w:keepLines w:val="0"/>
        <w:widowControl/>
        <w:suppressLineNumbers w:val="0"/>
        <w:ind w:left="0" w:firstLine="0"/>
        <w:rPr>
          <w:rFonts w:hint="default" w:ascii="sans-serif" w:hAnsi="sans-serif" w:eastAsia="sans-serif" w:cs="sans-serif"/>
          <w:i w:val="0"/>
          <w:iCs w:val="0"/>
          <w:caps w:val="0"/>
          <w:color w:val="000000"/>
          <w:spacing w:val="0"/>
          <w:sz w:val="24"/>
          <w:szCs w:val="24"/>
        </w:rPr>
      </w:pPr>
      <w:r>
        <w:rPr>
          <w:rFonts w:ascii="sans-serif" w:hAnsi="sans-serif" w:eastAsia="sans-serif" w:cs="sans-serif"/>
          <w:b/>
          <w:bCs/>
          <w:i w:val="0"/>
          <w:iCs w:val="0"/>
          <w:caps w:val="0"/>
          <w:color w:val="000000"/>
          <w:spacing w:val="0"/>
          <w:sz w:val="36"/>
          <w:szCs w:val="36"/>
        </w:rPr>
        <w:pict>
          <v:rect id="_x0000_i1025" o:spt="1" style="height:1.5pt;width:432pt;" fillcolor="#000000" filled="t" stroked="f" coordsize="21600,21600" o:hr="t" o:hrstd="t" o:hrnoshade="t" o:hralign="center">
            <v:path/>
            <v:fill on="t" focussize="0,0"/>
            <v:stroke on="f"/>
            <v:imagedata o:title=""/>
            <o:lock v:ext="edit"/>
            <w10:wrap type="none"/>
            <w10:anchorlock/>
          </v:rect>
        </w:pict>
      </w:r>
    </w:p>
    <w:p>
      <w:pPr>
        <w:pStyle w:val="2"/>
        <w:keepNext w:val="0"/>
        <w:keepLines w:val="0"/>
        <w:widowControl/>
        <w:suppressLineNumbers w:val="0"/>
        <w:spacing w:before="75" w:beforeAutospacing="0" w:after="75" w:afterAutospacing="0"/>
        <w:ind w:left="0" w:right="0" w:firstLine="0"/>
        <w:jc w:val="center"/>
        <w:rPr>
          <w:rFonts w:hint="eastAsia" w:ascii="仿宋_GB2312" w:hAnsi="仿宋_GB2312" w:eastAsia="仿宋_GB2312" w:cs="仿宋_GB2312"/>
          <w:b/>
          <w:bCs/>
          <w:i w:val="0"/>
          <w:iCs w:val="0"/>
          <w:caps w:val="0"/>
          <w:color w:val="000000"/>
          <w:spacing w:val="0"/>
          <w:sz w:val="28"/>
          <w:szCs w:val="28"/>
        </w:rPr>
      </w:pPr>
      <w:r>
        <w:rPr>
          <w:rFonts w:hint="eastAsia" w:ascii="仿宋_GB2312" w:hAnsi="仿宋_GB2312" w:eastAsia="仿宋_GB2312" w:cs="仿宋_GB2312"/>
          <w:b/>
          <w:bCs/>
          <w:i w:val="0"/>
          <w:iCs w:val="0"/>
          <w:caps w:val="0"/>
          <w:color w:val="000000"/>
          <w:spacing w:val="0"/>
          <w:sz w:val="28"/>
          <w:szCs w:val="28"/>
        </w:rPr>
        <w:t>2017年3月</w:t>
      </w:r>
    </w:p>
    <w:p>
      <w:pPr>
        <w:pStyle w:val="2"/>
        <w:keepNext w:val="0"/>
        <w:keepLines w:val="0"/>
        <w:widowControl/>
        <w:suppressLineNumbers w:val="0"/>
        <w:spacing w:before="315" w:beforeAutospacing="0" w:after="315" w:afterAutospacing="0" w:line="555" w:lineRule="atLeast"/>
        <w:ind w:left="0" w:right="0"/>
        <w:jc w:val="left"/>
      </w:pPr>
      <w:r>
        <w:rPr>
          <w:rFonts w:ascii="仿宋_GB2312" w:hAnsi="sans-serif" w:eastAsia="仿宋_GB2312" w:cs="仿宋_GB2312"/>
          <w:i w:val="0"/>
          <w:iCs w:val="0"/>
          <w:caps w:val="0"/>
          <w:color w:val="000000"/>
          <w:spacing w:val="0"/>
          <w:sz w:val="31"/>
          <w:szCs w:val="31"/>
        </w:rPr>
        <w:t>本报告根据《中华人民共和国政府信息公开条例》和《北京市政府信息公开规定》要求，在2016年度北京市各区人民政府和北京市政府各委、办、局的政府信息公开工作年度报告的基础上编制。</w:t>
      </w:r>
    </w:p>
    <w:p>
      <w:pPr>
        <w:pStyle w:val="2"/>
        <w:keepNext w:val="0"/>
        <w:keepLines w:val="0"/>
        <w:widowControl/>
        <w:suppressLineNumbers w:val="0"/>
        <w:spacing w:before="75" w:beforeAutospacing="0" w:after="75" w:afterAutospacing="0" w:line="555" w:lineRule="atLeast"/>
        <w:ind w:left="0" w:right="0" w:firstLine="645"/>
      </w:pPr>
      <w:r>
        <w:rPr>
          <w:rFonts w:hint="eastAsia" w:ascii="仿宋_GB2312" w:hAnsi="sans-serif" w:eastAsia="仿宋_GB2312" w:cs="仿宋_GB2312"/>
          <w:i w:val="0"/>
          <w:iCs w:val="0"/>
          <w:caps w:val="0"/>
          <w:color w:val="000000"/>
          <w:spacing w:val="0"/>
          <w:sz w:val="31"/>
          <w:szCs w:val="31"/>
        </w:rPr>
        <w:t>全文包括2016年北京市政府信息和政务公开重点工作情况、重点领域信息公开情况、存在的不足及改进措施，以及主动公开、依申请公开（含不予公开、收费及减免）、行政复议、行政诉讼、举报等政府信息公开相关数据。</w:t>
      </w:r>
    </w:p>
    <w:p>
      <w:pPr>
        <w:pStyle w:val="2"/>
        <w:keepNext w:val="0"/>
        <w:keepLines w:val="0"/>
        <w:widowControl/>
        <w:suppressLineNumbers w:val="0"/>
        <w:spacing w:before="75" w:beforeAutospacing="0" w:after="75" w:afterAutospacing="0" w:line="555" w:lineRule="atLeast"/>
        <w:ind w:left="0" w:right="0" w:firstLine="645"/>
      </w:pPr>
      <w:r>
        <w:rPr>
          <w:rFonts w:hint="eastAsia" w:ascii="仿宋_GB2312" w:hAnsi="sans-serif" w:eastAsia="仿宋_GB2312" w:cs="仿宋_GB2312"/>
          <w:i w:val="0"/>
          <w:iCs w:val="0"/>
          <w:caps w:val="0"/>
          <w:color w:val="000000"/>
          <w:spacing w:val="0"/>
          <w:sz w:val="31"/>
          <w:szCs w:val="31"/>
        </w:rPr>
        <w:t>本报告中所列数据的统计期限自2016年1月1日起，至2016年12月31日止。本报告的电子版可在西城区政府网站（</w:t>
      </w:r>
      <w:r>
        <w:rPr>
          <w:rFonts w:hint="eastAsia" w:ascii="仿宋_GB2312" w:hAnsi="sans-serif" w:eastAsia="仿宋_GB2312" w:cs="仿宋_GB2312"/>
          <w:i w:val="0"/>
          <w:iCs w:val="0"/>
          <w:caps w:val="0"/>
          <w:spacing w:val="0"/>
          <w:sz w:val="31"/>
          <w:szCs w:val="31"/>
        </w:rPr>
        <w:fldChar w:fldCharType="begin"/>
      </w:r>
      <w:r>
        <w:rPr>
          <w:rFonts w:hint="eastAsia" w:ascii="仿宋_GB2312" w:hAnsi="sans-serif" w:eastAsia="仿宋_GB2312" w:cs="仿宋_GB2312"/>
          <w:i w:val="0"/>
          <w:iCs w:val="0"/>
          <w:caps w:val="0"/>
          <w:spacing w:val="0"/>
          <w:sz w:val="31"/>
          <w:szCs w:val="31"/>
        </w:rPr>
        <w:instrText xml:space="preserve"> HYPERLINK "http://www.bjxch.gov.cn/" </w:instrText>
      </w:r>
      <w:r>
        <w:rPr>
          <w:rFonts w:hint="eastAsia" w:ascii="仿宋_GB2312" w:hAnsi="sans-serif" w:eastAsia="仿宋_GB2312" w:cs="仿宋_GB2312"/>
          <w:i w:val="0"/>
          <w:iCs w:val="0"/>
          <w:caps w:val="0"/>
          <w:spacing w:val="0"/>
          <w:sz w:val="31"/>
          <w:szCs w:val="31"/>
        </w:rPr>
        <w:fldChar w:fldCharType="separate"/>
      </w:r>
      <w:r>
        <w:rPr>
          <w:rStyle w:val="6"/>
          <w:rFonts w:hint="eastAsia" w:ascii="仿宋_GB2312" w:hAnsi="sans-serif" w:eastAsia="仿宋_GB2312" w:cs="仿宋_GB2312"/>
          <w:i w:val="0"/>
          <w:iCs w:val="0"/>
          <w:caps w:val="0"/>
          <w:spacing w:val="0"/>
          <w:sz w:val="31"/>
          <w:szCs w:val="31"/>
        </w:rPr>
        <w:t>http://www.bjxch.gov.cn/</w:t>
      </w:r>
      <w:r>
        <w:rPr>
          <w:rFonts w:hint="eastAsia" w:ascii="仿宋_GB2312" w:hAnsi="sans-serif" w:eastAsia="仿宋_GB2312" w:cs="仿宋_GB2312"/>
          <w:i w:val="0"/>
          <w:iCs w:val="0"/>
          <w:caps w:val="0"/>
          <w:spacing w:val="0"/>
          <w:sz w:val="31"/>
          <w:szCs w:val="31"/>
        </w:rPr>
        <w:fldChar w:fldCharType="end"/>
      </w:r>
      <w:r>
        <w:rPr>
          <w:rFonts w:hint="eastAsia" w:ascii="仿宋_GB2312" w:hAnsi="sans-serif" w:eastAsia="仿宋_GB2312" w:cs="仿宋_GB2312"/>
          <w:i w:val="0"/>
          <w:iCs w:val="0"/>
          <w:caps w:val="0"/>
          <w:color w:val="000000"/>
          <w:spacing w:val="0"/>
          <w:sz w:val="31"/>
          <w:szCs w:val="31"/>
        </w:rPr>
        <w:t>）下载。如对报告有疑问，请与西城区安全生产监督管理局联系（地址:北京市西城区南菜园街51号院2号楼；邮编：100054</w:t>
      </w:r>
      <w:bookmarkStart w:id="0" w:name="_GoBack"/>
      <w:bookmarkEnd w:id="0"/>
      <w:r>
        <w:rPr>
          <w:rFonts w:hint="eastAsia" w:ascii="仿宋_GB2312" w:hAnsi="sans-serif" w:eastAsia="仿宋_GB2312" w:cs="仿宋_GB2312"/>
          <w:i w:val="0"/>
          <w:iCs w:val="0"/>
          <w:caps w:val="0"/>
          <w:color w:val="000000"/>
          <w:spacing w:val="0"/>
          <w:sz w:val="31"/>
          <w:szCs w:val="31"/>
        </w:rPr>
        <w:t>）。</w:t>
      </w:r>
    </w:p>
    <w:p>
      <w:pPr>
        <w:pStyle w:val="2"/>
        <w:keepNext w:val="0"/>
        <w:keepLines w:val="0"/>
        <w:widowControl/>
        <w:suppressLineNumbers w:val="0"/>
        <w:spacing w:before="75" w:beforeAutospacing="0" w:after="75" w:afterAutospacing="0" w:line="555" w:lineRule="atLeast"/>
        <w:ind w:left="0" w:right="0" w:firstLine="645"/>
      </w:pPr>
      <w:r>
        <w:rPr>
          <w:rFonts w:ascii="黑体" w:hAnsi="宋体" w:eastAsia="黑体" w:cs="黑体"/>
          <w:i w:val="0"/>
          <w:iCs w:val="0"/>
          <w:caps w:val="0"/>
          <w:color w:val="000000"/>
          <w:spacing w:val="0"/>
          <w:sz w:val="31"/>
          <w:szCs w:val="31"/>
        </w:rPr>
        <w:t>一、重点工作情况</w:t>
      </w:r>
    </w:p>
    <w:p>
      <w:pPr>
        <w:pStyle w:val="2"/>
        <w:keepNext w:val="0"/>
        <w:keepLines w:val="0"/>
        <w:widowControl/>
        <w:suppressLineNumbers w:val="0"/>
        <w:spacing w:before="75" w:beforeAutospacing="0" w:after="75" w:afterAutospacing="0" w:line="555" w:lineRule="atLeast"/>
        <w:ind w:left="0" w:right="0" w:firstLine="645"/>
      </w:pPr>
      <w:r>
        <w:rPr>
          <w:rFonts w:hint="eastAsia" w:ascii="仿宋_GB2312" w:hAnsi="sans-serif" w:eastAsia="仿宋_GB2312" w:cs="仿宋_GB2312"/>
          <w:i w:val="0"/>
          <w:iCs w:val="0"/>
          <w:caps w:val="0"/>
          <w:color w:val="000000"/>
          <w:spacing w:val="0"/>
          <w:sz w:val="31"/>
          <w:szCs w:val="31"/>
        </w:rPr>
        <w:t>1.拓宽政务公开的平台网络。</w:t>
      </w:r>
    </w:p>
    <w:p>
      <w:pPr>
        <w:pStyle w:val="2"/>
        <w:keepNext w:val="0"/>
        <w:keepLines w:val="0"/>
        <w:widowControl/>
        <w:suppressLineNumbers w:val="0"/>
        <w:spacing w:before="75" w:beforeAutospacing="0" w:after="75" w:afterAutospacing="0" w:line="555" w:lineRule="atLeast"/>
        <w:ind w:left="0" w:right="0" w:firstLine="645"/>
      </w:pPr>
      <w:r>
        <w:rPr>
          <w:rFonts w:hint="eastAsia" w:ascii="仿宋_GB2312" w:hAnsi="sans-serif" w:eastAsia="仿宋_GB2312" w:cs="仿宋_GB2312"/>
          <w:i w:val="0"/>
          <w:iCs w:val="0"/>
          <w:caps w:val="0"/>
          <w:color w:val="000000"/>
          <w:spacing w:val="0"/>
          <w:sz w:val="31"/>
          <w:szCs w:val="31"/>
        </w:rPr>
        <w:t>为提高政务公开信息化水平、增强政务信息传播力影响力,我局及时对网站进行更新升级，增加公开模块，启用微信平台，拓宽与群众互动渠道，及时准确做好各项信息发布，</w:t>
      </w:r>
    </w:p>
    <w:p>
      <w:pPr>
        <w:pStyle w:val="2"/>
        <w:keepNext w:val="0"/>
        <w:keepLines w:val="0"/>
        <w:widowControl/>
        <w:suppressLineNumbers w:val="0"/>
        <w:spacing w:before="75" w:beforeAutospacing="0" w:after="75" w:afterAutospacing="0" w:line="555" w:lineRule="atLeast"/>
        <w:ind w:left="0" w:right="0" w:firstLine="645"/>
      </w:pPr>
      <w:r>
        <w:rPr>
          <w:rFonts w:hint="eastAsia" w:ascii="仿宋_GB2312" w:hAnsi="sans-serif" w:eastAsia="仿宋_GB2312" w:cs="仿宋_GB2312"/>
          <w:i w:val="0"/>
          <w:iCs w:val="0"/>
          <w:caps w:val="0"/>
          <w:color w:val="000000"/>
          <w:spacing w:val="0"/>
          <w:sz w:val="31"/>
          <w:szCs w:val="31"/>
        </w:rPr>
        <w:t>大力推动行政权力的公开透明运行。</w:t>
      </w:r>
    </w:p>
    <w:p>
      <w:pPr>
        <w:pStyle w:val="2"/>
        <w:keepNext w:val="0"/>
        <w:keepLines w:val="0"/>
        <w:widowControl/>
        <w:suppressLineNumbers w:val="0"/>
        <w:spacing w:before="75" w:beforeAutospacing="0" w:after="75" w:afterAutospacing="0" w:line="555" w:lineRule="atLeast"/>
        <w:ind w:left="0" w:right="0" w:firstLine="645"/>
      </w:pPr>
      <w:r>
        <w:rPr>
          <w:rFonts w:hint="eastAsia" w:ascii="仿宋_GB2312" w:hAnsi="sans-serif" w:eastAsia="仿宋_GB2312" w:cs="仿宋_GB2312"/>
          <w:i w:val="0"/>
          <w:iCs w:val="0"/>
          <w:caps w:val="0"/>
          <w:color w:val="000000"/>
          <w:spacing w:val="0"/>
          <w:sz w:val="31"/>
          <w:szCs w:val="31"/>
        </w:rPr>
        <w:t>2.梳理各科室队政务公开职责。</w:t>
      </w:r>
    </w:p>
    <w:p>
      <w:pPr>
        <w:pStyle w:val="2"/>
        <w:keepNext w:val="0"/>
        <w:keepLines w:val="0"/>
        <w:widowControl/>
        <w:suppressLineNumbers w:val="0"/>
        <w:spacing w:before="75" w:beforeAutospacing="0" w:after="75" w:afterAutospacing="0" w:line="555" w:lineRule="atLeast"/>
        <w:ind w:left="0" w:right="0" w:firstLine="645"/>
      </w:pPr>
      <w:r>
        <w:rPr>
          <w:rFonts w:hint="eastAsia" w:ascii="仿宋_GB2312" w:hAnsi="sans-serif" w:eastAsia="仿宋_GB2312" w:cs="仿宋_GB2312"/>
          <w:i w:val="0"/>
          <w:iCs w:val="0"/>
          <w:caps w:val="0"/>
          <w:color w:val="000000"/>
          <w:spacing w:val="0"/>
          <w:sz w:val="31"/>
          <w:szCs w:val="31"/>
        </w:rPr>
        <w:t>落实政务公开的各项要求，做好牵头协调和监督检查。做到了领导、科室、人员“三到位”，同时，我局把政务公开工作分解到</w:t>
      </w:r>
      <w:r>
        <w:rPr>
          <w:rFonts w:hint="eastAsia" w:ascii="仿宋_GB2312" w:hAnsi="sans-serif" w:eastAsia="仿宋_GB2312" w:cs="仿宋_GB2312"/>
          <w:i w:val="0"/>
          <w:iCs w:val="0"/>
          <w:caps w:val="0"/>
          <w:spacing w:val="0"/>
          <w:sz w:val="31"/>
          <w:szCs w:val="31"/>
        </w:rPr>
        <w:fldChar w:fldCharType="begin"/>
      </w:r>
      <w:r>
        <w:rPr>
          <w:rFonts w:hint="eastAsia" w:ascii="仿宋_GB2312" w:hAnsi="sans-serif" w:eastAsia="仿宋_GB2312" w:cs="仿宋_GB2312"/>
          <w:i w:val="0"/>
          <w:iCs w:val="0"/>
          <w:caps w:val="0"/>
          <w:spacing w:val="0"/>
          <w:sz w:val="31"/>
          <w:szCs w:val="31"/>
        </w:rPr>
        <w:instrText xml:space="preserve"> HYPERLINK "http://www.unjs.com/Special/danweigongzuojianding/" \t "_blank" </w:instrText>
      </w:r>
      <w:r>
        <w:rPr>
          <w:rFonts w:hint="eastAsia" w:ascii="仿宋_GB2312" w:hAnsi="sans-serif" w:eastAsia="仿宋_GB2312" w:cs="仿宋_GB2312"/>
          <w:i w:val="0"/>
          <w:iCs w:val="0"/>
          <w:caps w:val="0"/>
          <w:spacing w:val="0"/>
          <w:sz w:val="31"/>
          <w:szCs w:val="31"/>
        </w:rPr>
        <w:fldChar w:fldCharType="separate"/>
      </w:r>
      <w:r>
        <w:rPr>
          <w:rStyle w:val="6"/>
          <w:rFonts w:hint="eastAsia" w:ascii="仿宋_GB2312" w:hAnsi="sans-serif" w:eastAsia="仿宋_GB2312" w:cs="仿宋_GB2312"/>
          <w:i w:val="0"/>
          <w:iCs w:val="0"/>
          <w:caps w:val="0"/>
          <w:color w:val="auto"/>
          <w:spacing w:val="0"/>
          <w:sz w:val="31"/>
          <w:szCs w:val="31"/>
        </w:rPr>
        <w:t>单位</w:t>
      </w:r>
      <w:r>
        <w:rPr>
          <w:rFonts w:hint="eastAsia" w:ascii="仿宋_GB2312" w:hAnsi="sans-serif" w:eastAsia="仿宋_GB2312" w:cs="仿宋_GB2312"/>
          <w:i w:val="0"/>
          <w:iCs w:val="0"/>
          <w:caps w:val="0"/>
          <w:spacing w:val="0"/>
          <w:sz w:val="31"/>
          <w:szCs w:val="31"/>
        </w:rPr>
        <w:fldChar w:fldCharType="end"/>
      </w:r>
      <w:r>
        <w:rPr>
          <w:rFonts w:hint="eastAsia" w:ascii="仿宋_GB2312" w:hAnsi="sans-serif" w:eastAsia="仿宋_GB2312" w:cs="仿宋_GB2312"/>
          <w:i w:val="0"/>
          <w:iCs w:val="0"/>
          <w:caps w:val="0"/>
          <w:color w:val="000000"/>
          <w:spacing w:val="0"/>
          <w:sz w:val="31"/>
          <w:szCs w:val="31"/>
        </w:rPr>
        <w:t>内部的有关科室和人员，强化落实机制。</w:t>
      </w:r>
    </w:p>
    <w:p>
      <w:pPr>
        <w:pStyle w:val="2"/>
        <w:keepNext w:val="0"/>
        <w:keepLines w:val="0"/>
        <w:widowControl/>
        <w:suppressLineNumbers w:val="0"/>
        <w:spacing w:before="75" w:beforeAutospacing="0" w:after="75" w:afterAutospacing="0" w:line="555" w:lineRule="atLeast"/>
        <w:ind w:left="0" w:right="0" w:firstLine="645"/>
      </w:pPr>
      <w:r>
        <w:rPr>
          <w:rFonts w:hint="eastAsia" w:ascii="仿宋_GB2312" w:hAnsi="sans-serif" w:eastAsia="仿宋_GB2312" w:cs="仿宋_GB2312"/>
          <w:i w:val="0"/>
          <w:iCs w:val="0"/>
          <w:caps w:val="0"/>
          <w:color w:val="000000"/>
          <w:spacing w:val="0"/>
          <w:sz w:val="31"/>
          <w:szCs w:val="31"/>
        </w:rPr>
        <w:t>3.对执法信息进行实时公开。</w:t>
      </w:r>
    </w:p>
    <w:p>
      <w:pPr>
        <w:pStyle w:val="2"/>
        <w:keepNext w:val="0"/>
        <w:keepLines w:val="0"/>
        <w:widowControl/>
        <w:suppressLineNumbers w:val="0"/>
        <w:spacing w:before="75" w:beforeAutospacing="0" w:after="75" w:afterAutospacing="0" w:line="555" w:lineRule="atLeast"/>
        <w:ind w:left="0" w:right="0" w:firstLine="645"/>
      </w:pPr>
      <w:r>
        <w:rPr>
          <w:rFonts w:hint="eastAsia" w:ascii="仿宋_GB2312" w:hAnsi="sans-serif" w:eastAsia="仿宋_GB2312" w:cs="仿宋_GB2312"/>
          <w:i w:val="0"/>
          <w:iCs w:val="0"/>
          <w:caps w:val="0"/>
          <w:color w:val="000000"/>
          <w:spacing w:val="0"/>
          <w:sz w:val="31"/>
          <w:szCs w:val="31"/>
        </w:rPr>
        <w:t>做好安全生产行政许可、执法检查、行政处罚的信息发布，及时发布突发事故应急处置情况，及时、准确公开经区政府依法批复的事故调查和处理情况。定期公开危险化学品事故应急预案及安全生产应急预案，积极推进安全生产政务公开工作。</w:t>
      </w:r>
    </w:p>
    <w:p>
      <w:pPr>
        <w:pStyle w:val="2"/>
        <w:keepNext w:val="0"/>
        <w:keepLines w:val="0"/>
        <w:widowControl/>
        <w:suppressLineNumbers w:val="0"/>
        <w:spacing w:before="75" w:beforeAutospacing="0" w:after="75" w:afterAutospacing="0" w:line="555" w:lineRule="atLeast"/>
        <w:ind w:left="0" w:right="0" w:firstLine="645"/>
      </w:pPr>
      <w:r>
        <w:rPr>
          <w:rFonts w:hint="eastAsia" w:ascii="黑体" w:hAnsi="宋体" w:eastAsia="黑体" w:cs="黑体"/>
          <w:i w:val="0"/>
          <w:iCs w:val="0"/>
          <w:caps w:val="0"/>
          <w:color w:val="000000"/>
          <w:spacing w:val="0"/>
          <w:sz w:val="31"/>
          <w:szCs w:val="31"/>
        </w:rPr>
        <w:t>二、重点领域信息公开情况</w:t>
      </w:r>
    </w:p>
    <w:p>
      <w:pPr>
        <w:pStyle w:val="2"/>
        <w:keepNext w:val="0"/>
        <w:keepLines w:val="0"/>
        <w:widowControl/>
        <w:suppressLineNumbers w:val="0"/>
        <w:spacing w:before="75" w:beforeAutospacing="0" w:after="75" w:afterAutospacing="0" w:line="555" w:lineRule="atLeast"/>
        <w:ind w:left="0" w:right="0" w:firstLine="480"/>
      </w:pPr>
      <w:r>
        <w:rPr>
          <w:rFonts w:ascii="楷体_GB2312" w:hAnsi="sans-serif" w:eastAsia="楷体_GB2312" w:cs="楷体_GB2312"/>
          <w:i w:val="0"/>
          <w:iCs w:val="0"/>
          <w:caps w:val="0"/>
          <w:color w:val="000000"/>
          <w:spacing w:val="0"/>
          <w:sz w:val="31"/>
          <w:szCs w:val="31"/>
        </w:rPr>
        <w:t>（一）围绕深化改革推进公开</w:t>
      </w:r>
    </w:p>
    <w:p>
      <w:pPr>
        <w:pStyle w:val="2"/>
        <w:keepNext w:val="0"/>
        <w:keepLines w:val="0"/>
        <w:widowControl/>
        <w:suppressLineNumbers w:val="0"/>
        <w:spacing w:before="75" w:beforeAutospacing="0" w:after="75" w:afterAutospacing="0" w:line="555" w:lineRule="atLeast"/>
        <w:ind w:left="0" w:right="0" w:firstLine="645"/>
      </w:pPr>
      <w:r>
        <w:rPr>
          <w:rFonts w:hint="eastAsia" w:ascii="仿宋_GB2312" w:hAnsi="sans-serif" w:eastAsia="仿宋_GB2312" w:cs="仿宋_GB2312"/>
          <w:i w:val="0"/>
          <w:iCs w:val="0"/>
          <w:caps w:val="0"/>
          <w:color w:val="000000"/>
          <w:spacing w:val="0"/>
          <w:sz w:val="31"/>
          <w:szCs w:val="31"/>
        </w:rPr>
        <w:t>推进政务公开工作部署。一是进一步充实政务公开领导小组成员。确定由一把手负总责、分管领导具体抓，办公室专人承办的政务公开领导体制和工作机制。各科室队选定一名工作人员作为政务公开联络员，负责政务公开及保密审查工作。二是定期召开局长办公会、管理评审会等，传达区政府和市安监局政务公开相关会议或培训精神，研讨政务公开工作存在的问题和困难，研究部署下一步工作方向。三是进一步健全政务公开工作制度。参照市安监局政务公开相关要求，结合西城区安全生产工作实际，制定了《区安全监管局政务公开管理办法》及《区安全监管局政务公开绩效考核办法》，明确将政务公开工作与年终考核、评先评优挂钩。</w:t>
      </w:r>
    </w:p>
    <w:p>
      <w:pPr>
        <w:pStyle w:val="2"/>
        <w:keepNext w:val="0"/>
        <w:keepLines w:val="0"/>
        <w:widowControl/>
        <w:suppressLineNumbers w:val="0"/>
        <w:spacing w:before="75" w:beforeAutospacing="0" w:after="75" w:afterAutospacing="0" w:line="555" w:lineRule="atLeast"/>
        <w:ind w:left="0" w:right="0" w:firstLine="645"/>
      </w:pPr>
      <w:r>
        <w:rPr>
          <w:rFonts w:hint="eastAsia" w:ascii="仿宋_GB2312" w:hAnsi="sans-serif" w:eastAsia="仿宋_GB2312" w:cs="仿宋_GB2312"/>
          <w:i w:val="0"/>
          <w:iCs w:val="0"/>
          <w:caps w:val="0"/>
          <w:color w:val="000000"/>
          <w:spacing w:val="0"/>
          <w:sz w:val="31"/>
          <w:szCs w:val="31"/>
        </w:rPr>
        <w:t>推进权力和责任清单公开。全面集中公开西城区安监局各部门权力和责任清单并建立动态管理制度。更新发布2016年版执法检查、行政处罚、行政许可、事故调查和其他类别等权力清单，逐项梳理并细化。</w:t>
      </w:r>
    </w:p>
    <w:p>
      <w:pPr>
        <w:pStyle w:val="2"/>
        <w:keepNext w:val="0"/>
        <w:keepLines w:val="0"/>
        <w:widowControl/>
        <w:suppressLineNumbers w:val="0"/>
        <w:spacing w:before="75" w:beforeAutospacing="0" w:after="75" w:afterAutospacing="0" w:line="555" w:lineRule="atLeast"/>
        <w:ind w:left="0" w:right="0" w:firstLine="645"/>
      </w:pPr>
      <w:r>
        <w:rPr>
          <w:rFonts w:hint="eastAsia" w:ascii="仿宋_GB2312" w:hAnsi="sans-serif" w:eastAsia="仿宋_GB2312" w:cs="仿宋_GB2312"/>
          <w:i w:val="0"/>
          <w:iCs w:val="0"/>
          <w:caps w:val="0"/>
          <w:color w:val="000000"/>
          <w:spacing w:val="0"/>
          <w:sz w:val="31"/>
          <w:szCs w:val="31"/>
        </w:rPr>
        <w:t>推进安全生产监管信息公开。及时发布安全生产行政许可、行政处罚、执法检查和事故调查情况。定期向市信用体系建设平台报送有关安全生产行政处罚信息，建立失信企业“黑名单”制度。</w:t>
      </w:r>
    </w:p>
    <w:p>
      <w:pPr>
        <w:pStyle w:val="2"/>
        <w:keepNext w:val="0"/>
        <w:keepLines w:val="0"/>
        <w:widowControl/>
        <w:suppressLineNumbers w:val="0"/>
        <w:spacing w:before="75" w:beforeAutospacing="0" w:after="75" w:afterAutospacing="0" w:line="555" w:lineRule="atLeast"/>
        <w:ind w:left="0" w:right="0" w:firstLine="645"/>
      </w:pPr>
      <w:r>
        <w:rPr>
          <w:rFonts w:hint="default" w:ascii="楷体_GB2312" w:hAnsi="sans-serif" w:eastAsia="楷体_GB2312" w:cs="楷体_GB2312"/>
          <w:i w:val="0"/>
          <w:iCs w:val="0"/>
          <w:caps w:val="0"/>
          <w:color w:val="000000"/>
          <w:spacing w:val="0"/>
          <w:sz w:val="31"/>
          <w:szCs w:val="31"/>
        </w:rPr>
        <w:t>（二）围绕安全监管局自身建设推进公开</w:t>
      </w:r>
    </w:p>
    <w:p>
      <w:pPr>
        <w:pStyle w:val="2"/>
        <w:keepNext w:val="0"/>
        <w:keepLines w:val="0"/>
        <w:widowControl/>
        <w:suppressLineNumbers w:val="0"/>
        <w:spacing w:before="75" w:beforeAutospacing="0" w:after="75" w:afterAutospacing="0" w:line="555" w:lineRule="atLeast"/>
        <w:ind w:left="0" w:right="0" w:firstLine="645"/>
      </w:pPr>
      <w:r>
        <w:rPr>
          <w:rFonts w:hint="eastAsia" w:ascii="仿宋_GB2312" w:hAnsi="sans-serif" w:eastAsia="仿宋_GB2312" w:cs="仿宋_GB2312"/>
          <w:i w:val="0"/>
          <w:iCs w:val="0"/>
          <w:caps w:val="0"/>
          <w:color w:val="000000"/>
          <w:spacing w:val="0"/>
          <w:sz w:val="31"/>
          <w:szCs w:val="31"/>
        </w:rPr>
        <w:t>在政务公开推进过程中，我局根据安全生产工作实际，突出重点、创新形式，不断提高政务公开工作水平。</w:t>
      </w:r>
    </w:p>
    <w:p>
      <w:pPr>
        <w:pStyle w:val="2"/>
        <w:keepNext w:val="0"/>
        <w:keepLines w:val="0"/>
        <w:widowControl/>
        <w:suppressLineNumbers w:val="0"/>
        <w:spacing w:before="75" w:beforeAutospacing="0" w:after="75" w:afterAutospacing="0" w:line="555" w:lineRule="atLeast"/>
        <w:ind w:left="0" w:right="0" w:firstLine="645"/>
      </w:pPr>
      <w:r>
        <w:rPr>
          <w:rFonts w:hint="eastAsia" w:ascii="仿宋_GB2312" w:hAnsi="sans-serif" w:eastAsia="仿宋_GB2312" w:cs="仿宋_GB2312"/>
          <w:i w:val="0"/>
          <w:iCs w:val="0"/>
          <w:caps w:val="0"/>
          <w:color w:val="000000"/>
          <w:spacing w:val="0"/>
          <w:sz w:val="31"/>
          <w:szCs w:val="31"/>
        </w:rPr>
        <w:t>在公开载体上，我局积极与区信息中心联系，将区安监局网站进行全新改版，把政务公开专栏作为一项重要内容列入其中，经过与区信息中心几上几下的沟通联系、修改完善，最终经局长办公会审议通过。安监局网站改版建设为做好政务公开工作提供了良好的平台，奠定了坚实基础。</w:t>
      </w:r>
    </w:p>
    <w:p>
      <w:pPr>
        <w:pStyle w:val="2"/>
        <w:keepNext w:val="0"/>
        <w:keepLines w:val="0"/>
        <w:widowControl/>
        <w:suppressLineNumbers w:val="0"/>
        <w:spacing w:before="75" w:beforeAutospacing="0" w:after="75" w:afterAutospacing="0" w:line="555" w:lineRule="atLeast"/>
        <w:ind w:left="0" w:right="0" w:firstLine="645"/>
      </w:pPr>
      <w:r>
        <w:rPr>
          <w:rFonts w:hint="eastAsia" w:ascii="仿宋_GB2312" w:hAnsi="sans-serif" w:eastAsia="仿宋_GB2312" w:cs="仿宋_GB2312"/>
          <w:i w:val="0"/>
          <w:iCs w:val="0"/>
          <w:caps w:val="0"/>
          <w:color w:val="000000"/>
          <w:spacing w:val="0"/>
          <w:sz w:val="31"/>
          <w:szCs w:val="31"/>
        </w:rPr>
        <w:t>在公开内容上，严格按照“公开为原则，不公开为例外”的总体要求，突出重点，以“满足群众需求、确保群众满意”为原则，注重发布群众关心、社会关注的工作信息，我局在不断丰富完善政府信息公开专栏的基础上，参照市安监局公开内容，明确我局政务公开要点为“推进安全生产监管执法信息公开。并确定了6项重点公开内容，分别是事故调查、事故快报、应急预案、行政处罚、行政许可、执法检查，经研究，将6项重点公开内容分设在各业务科室队，由联络员统一汇总、定期审核并上报。</w:t>
      </w:r>
    </w:p>
    <w:p>
      <w:pPr>
        <w:pStyle w:val="2"/>
        <w:keepNext w:val="0"/>
        <w:keepLines w:val="0"/>
        <w:widowControl/>
        <w:suppressLineNumbers w:val="0"/>
        <w:spacing w:before="75" w:beforeAutospacing="0" w:after="75" w:afterAutospacing="0" w:line="555" w:lineRule="atLeast"/>
        <w:ind w:left="0" w:right="0" w:firstLine="645"/>
      </w:pPr>
      <w:r>
        <w:rPr>
          <w:rFonts w:hint="eastAsia" w:ascii="仿宋_GB2312" w:hAnsi="sans-serif" w:eastAsia="仿宋_GB2312" w:cs="仿宋_GB2312"/>
          <w:i w:val="0"/>
          <w:iCs w:val="0"/>
          <w:caps w:val="0"/>
          <w:color w:val="000000"/>
          <w:spacing w:val="0"/>
          <w:sz w:val="31"/>
          <w:szCs w:val="31"/>
        </w:rPr>
        <w:t>在公开程序上，明确各项主动公开的内容均由业务科室队提供并汇总，科长、主管领导对公开事项进行事前布置、事中督促、事后检查，层层审核并把关，确认无误后填写《政务公开源头管理审查单》，相关纸质及电子版材料统一交由办公室，办公室收集齐全后报主要领导过目。截至年底，共公开信息270条，其中行政处罚30条、执法检查215条、行政许可20条、事故快报1件、事故调查信息公开1起、应急预案3项，三公经费预算、部门预算、决算编制说明、决算收支总表、全局工作总结等信息已按要求及时公开完毕，方便社会大众监督。</w:t>
      </w:r>
    </w:p>
    <w:p>
      <w:pPr>
        <w:pStyle w:val="2"/>
        <w:keepNext w:val="0"/>
        <w:keepLines w:val="0"/>
        <w:widowControl/>
        <w:suppressLineNumbers w:val="0"/>
        <w:spacing w:before="75" w:beforeAutospacing="0" w:after="75" w:afterAutospacing="0" w:line="555" w:lineRule="atLeast"/>
        <w:ind w:left="0" w:right="0" w:firstLine="645"/>
      </w:pPr>
      <w:r>
        <w:rPr>
          <w:rFonts w:hint="eastAsia" w:ascii="黑体" w:hAnsi="宋体" w:eastAsia="黑体" w:cs="黑体"/>
          <w:i w:val="0"/>
          <w:iCs w:val="0"/>
          <w:caps w:val="0"/>
          <w:color w:val="000000"/>
          <w:spacing w:val="0"/>
          <w:sz w:val="31"/>
          <w:szCs w:val="31"/>
        </w:rPr>
        <w:t>三、信息公开数据</w:t>
      </w:r>
    </w:p>
    <w:p>
      <w:pPr>
        <w:pStyle w:val="2"/>
        <w:keepNext w:val="0"/>
        <w:keepLines w:val="0"/>
        <w:widowControl/>
        <w:suppressLineNumbers w:val="0"/>
        <w:spacing w:before="75" w:beforeAutospacing="0" w:after="75" w:afterAutospacing="0" w:line="555" w:lineRule="atLeast"/>
        <w:ind w:left="0" w:right="0" w:firstLine="645"/>
      </w:pPr>
      <w:r>
        <w:rPr>
          <w:rFonts w:hint="eastAsia" w:ascii="仿宋_GB2312" w:hAnsi="sans-serif" w:eastAsia="仿宋_GB2312" w:cs="仿宋_GB2312"/>
          <w:i w:val="0"/>
          <w:iCs w:val="0"/>
          <w:caps w:val="0"/>
          <w:color w:val="000000"/>
          <w:spacing w:val="0"/>
          <w:sz w:val="31"/>
          <w:szCs w:val="31"/>
        </w:rPr>
        <w:t>根据《条例》要求，2008年5月1日起本单位开始开展政府信息公开工作。为此，专门配备了1名兼职工作人员，各科室队指定1名工作人员作为信息公开工作联络员，在办公室设立了信息申请受理点。截至2016年底，本单位政府信息公开工作运行正常，政府信息公开咨询、申请以及答复工作均得到了顺利开展。</w:t>
      </w:r>
    </w:p>
    <w:p>
      <w:pPr>
        <w:pStyle w:val="2"/>
        <w:keepNext w:val="0"/>
        <w:keepLines w:val="0"/>
        <w:widowControl/>
        <w:suppressLineNumbers w:val="0"/>
        <w:spacing w:before="75" w:beforeAutospacing="0" w:after="75" w:afterAutospacing="0" w:line="555" w:lineRule="atLeast"/>
        <w:ind w:left="0" w:right="0" w:firstLine="645"/>
      </w:pPr>
      <w:r>
        <w:rPr>
          <w:rStyle w:val="5"/>
          <w:rFonts w:hint="default" w:ascii="楷体_GB2312" w:hAnsi="sans-serif" w:eastAsia="楷体_GB2312" w:cs="楷体_GB2312"/>
          <w:i w:val="0"/>
          <w:iCs w:val="0"/>
          <w:caps w:val="0"/>
          <w:color w:val="000000"/>
          <w:spacing w:val="0"/>
          <w:sz w:val="31"/>
          <w:szCs w:val="31"/>
        </w:rPr>
        <w:t>（一）主动公开情况</w:t>
      </w:r>
    </w:p>
    <w:p>
      <w:pPr>
        <w:pStyle w:val="2"/>
        <w:keepNext w:val="0"/>
        <w:keepLines w:val="0"/>
        <w:widowControl/>
        <w:suppressLineNumbers w:val="0"/>
        <w:spacing w:before="75" w:beforeAutospacing="0" w:after="75" w:afterAutospacing="0" w:line="555" w:lineRule="atLeast"/>
        <w:ind w:left="0" w:right="0" w:firstLine="645"/>
      </w:pPr>
      <w:r>
        <w:rPr>
          <w:rFonts w:hint="eastAsia" w:ascii="仿宋_GB2312" w:hAnsi="sans-serif" w:eastAsia="仿宋_GB2312" w:cs="仿宋_GB2312"/>
          <w:i w:val="0"/>
          <w:iCs w:val="0"/>
          <w:caps w:val="0"/>
          <w:color w:val="000000"/>
          <w:spacing w:val="0"/>
          <w:sz w:val="31"/>
          <w:szCs w:val="31"/>
        </w:rPr>
        <w:t>本单位2016年共主动公开政府信息420条，其中全文电子化率达100%。</w:t>
      </w:r>
    </w:p>
    <w:p>
      <w:pPr>
        <w:pStyle w:val="2"/>
        <w:keepNext w:val="0"/>
        <w:keepLines w:val="0"/>
        <w:widowControl/>
        <w:suppressLineNumbers w:val="0"/>
        <w:spacing w:before="75" w:beforeAutospacing="0" w:after="75" w:afterAutospacing="0" w:line="555" w:lineRule="atLeast"/>
        <w:ind w:left="0" w:right="0" w:firstLine="645"/>
      </w:pPr>
      <w:r>
        <w:rPr>
          <w:rFonts w:hint="eastAsia" w:ascii="仿宋_GB2312" w:hAnsi="sans-serif" w:eastAsia="仿宋_GB2312" w:cs="仿宋_GB2312"/>
          <w:i w:val="0"/>
          <w:iCs w:val="0"/>
          <w:caps w:val="0"/>
          <w:color w:val="000000"/>
          <w:spacing w:val="0"/>
          <w:sz w:val="31"/>
          <w:szCs w:val="31"/>
        </w:rPr>
        <w:t>在主动公开的信息中，规划计划类信息4条，占总体的比例为0.96%。主要包括：2015年部门决算公开、“三公经费”决算公开、2016年“三公”经费预算公开和2016年部门预算；业务动态类信息416条，占总体的比例为99.04%。主要包括：2016年工作总结、安全生产形势分析预测、各类执法检查信息等。</w:t>
      </w:r>
    </w:p>
    <w:p>
      <w:pPr>
        <w:pStyle w:val="2"/>
        <w:keepNext w:val="0"/>
        <w:keepLines w:val="0"/>
        <w:widowControl/>
        <w:suppressLineNumbers w:val="0"/>
        <w:spacing w:before="75" w:beforeAutospacing="0" w:after="75" w:afterAutospacing="0" w:line="555" w:lineRule="atLeast"/>
        <w:ind w:left="0" w:right="0" w:firstLine="645"/>
      </w:pPr>
      <w:r>
        <w:rPr>
          <w:rFonts w:hint="eastAsia" w:ascii="仿宋_GB2312" w:hAnsi="sans-serif" w:eastAsia="仿宋_GB2312" w:cs="仿宋_GB2312"/>
          <w:i w:val="0"/>
          <w:iCs w:val="0"/>
          <w:caps w:val="0"/>
          <w:color w:val="000000"/>
          <w:spacing w:val="0"/>
          <w:sz w:val="31"/>
          <w:szCs w:val="31"/>
        </w:rPr>
        <w:t>在主动公开的信息中，为方便公众了解情况，我单位采取多种形式，如在政府网站和我局外网直接发布各类信息；利用中国安全生产报、西城报、千龙网等多家媒体宣传安全生产的法规、制度、活动等。其中通过政府网站和局外网进行信息公开是效率最快、易于市民索取的形式，市民可直接进行查询或咨询。</w:t>
      </w:r>
    </w:p>
    <w:p>
      <w:pPr>
        <w:pStyle w:val="2"/>
        <w:keepNext w:val="0"/>
        <w:keepLines w:val="0"/>
        <w:widowControl/>
        <w:suppressLineNumbers w:val="0"/>
        <w:spacing w:before="75" w:beforeAutospacing="0" w:after="75" w:afterAutospacing="0" w:line="555" w:lineRule="atLeast"/>
        <w:ind w:left="0" w:right="0" w:firstLine="645"/>
      </w:pPr>
      <w:r>
        <w:rPr>
          <w:rStyle w:val="5"/>
          <w:rFonts w:hint="default" w:ascii="楷体_GB2312" w:hAnsi="sans-serif" w:eastAsia="楷体_GB2312" w:cs="楷体_GB2312"/>
          <w:i w:val="0"/>
          <w:iCs w:val="0"/>
          <w:caps w:val="0"/>
          <w:color w:val="000000"/>
          <w:spacing w:val="0"/>
          <w:sz w:val="31"/>
          <w:szCs w:val="31"/>
        </w:rPr>
        <w:t>（二）依申请公开情况</w:t>
      </w:r>
    </w:p>
    <w:p>
      <w:pPr>
        <w:pStyle w:val="2"/>
        <w:keepNext w:val="0"/>
        <w:keepLines w:val="0"/>
        <w:widowControl/>
        <w:suppressLineNumbers w:val="0"/>
        <w:spacing w:before="75" w:beforeAutospacing="0" w:after="75" w:afterAutospacing="0" w:line="555" w:lineRule="atLeast"/>
        <w:ind w:left="0" w:right="0" w:firstLine="645"/>
      </w:pPr>
      <w:r>
        <w:rPr>
          <w:rFonts w:hint="eastAsia" w:ascii="仿宋_GB2312" w:hAnsi="sans-serif" w:eastAsia="仿宋_GB2312" w:cs="仿宋_GB2312"/>
          <w:i w:val="0"/>
          <w:iCs w:val="0"/>
          <w:caps w:val="0"/>
          <w:color w:val="000000"/>
          <w:spacing w:val="0"/>
          <w:sz w:val="31"/>
          <w:szCs w:val="31"/>
        </w:rPr>
        <w:t>1、申请情况</w:t>
      </w:r>
    </w:p>
    <w:p>
      <w:pPr>
        <w:pStyle w:val="2"/>
        <w:keepNext w:val="0"/>
        <w:keepLines w:val="0"/>
        <w:widowControl/>
        <w:suppressLineNumbers w:val="0"/>
        <w:spacing w:before="75" w:beforeAutospacing="0" w:after="75" w:afterAutospacing="0" w:line="555" w:lineRule="atLeast"/>
        <w:ind w:left="0" w:right="0" w:firstLine="645"/>
      </w:pPr>
      <w:r>
        <w:rPr>
          <w:rFonts w:hint="eastAsia" w:ascii="仿宋_GB2312" w:hAnsi="sans-serif" w:eastAsia="仿宋_GB2312" w:cs="仿宋_GB2312"/>
          <w:i w:val="0"/>
          <w:iCs w:val="0"/>
          <w:caps w:val="0"/>
          <w:color w:val="000000"/>
          <w:spacing w:val="0"/>
          <w:sz w:val="31"/>
          <w:szCs w:val="31"/>
        </w:rPr>
        <w:t>本单位2016年度共收到政府信息公开申请2件，同上年相比，减少1条。</w:t>
      </w:r>
    </w:p>
    <w:p>
      <w:pPr>
        <w:pStyle w:val="2"/>
        <w:keepNext w:val="0"/>
        <w:keepLines w:val="0"/>
        <w:widowControl/>
        <w:suppressLineNumbers w:val="0"/>
        <w:spacing w:before="75" w:beforeAutospacing="0" w:after="75" w:afterAutospacing="0" w:line="555" w:lineRule="atLeast"/>
        <w:ind w:left="0" w:right="0" w:firstLine="645"/>
      </w:pPr>
      <w:r>
        <w:rPr>
          <w:rFonts w:hint="eastAsia" w:ascii="仿宋_GB2312" w:hAnsi="sans-serif" w:eastAsia="仿宋_GB2312" w:cs="仿宋_GB2312"/>
          <w:i w:val="0"/>
          <w:iCs w:val="0"/>
          <w:caps w:val="0"/>
          <w:color w:val="000000"/>
          <w:spacing w:val="0"/>
          <w:sz w:val="31"/>
          <w:szCs w:val="31"/>
        </w:rPr>
        <w:t>其中，通过互联网提交申请有1件，占总数的50%，同上年相比，增加1条；以信函形式申请1件，占总数的50%，同上年相比，增加1条。</w:t>
      </w:r>
    </w:p>
    <w:p>
      <w:pPr>
        <w:pStyle w:val="2"/>
        <w:keepNext w:val="0"/>
        <w:keepLines w:val="0"/>
        <w:widowControl/>
        <w:suppressLineNumbers w:val="0"/>
        <w:spacing w:before="75" w:beforeAutospacing="0" w:after="75" w:afterAutospacing="0" w:line="555" w:lineRule="atLeast"/>
        <w:ind w:left="0" w:right="0" w:firstLine="645"/>
      </w:pPr>
      <w:r>
        <w:rPr>
          <w:rFonts w:hint="eastAsia" w:ascii="仿宋_GB2312" w:hAnsi="sans-serif" w:eastAsia="仿宋_GB2312" w:cs="仿宋_GB2312"/>
          <w:i w:val="0"/>
          <w:iCs w:val="0"/>
          <w:caps w:val="0"/>
          <w:color w:val="000000"/>
          <w:spacing w:val="0"/>
          <w:sz w:val="31"/>
          <w:szCs w:val="31"/>
        </w:rPr>
        <w:t>从申请的信息内容来看，都是业务动态类信息，关于我局的安全生产情况的信息。</w:t>
      </w:r>
    </w:p>
    <w:p>
      <w:pPr>
        <w:pStyle w:val="2"/>
        <w:keepNext w:val="0"/>
        <w:keepLines w:val="0"/>
        <w:widowControl/>
        <w:suppressLineNumbers w:val="0"/>
        <w:spacing w:before="75" w:beforeAutospacing="0" w:after="75" w:afterAutospacing="0" w:line="555" w:lineRule="atLeast"/>
        <w:ind w:left="0" w:right="0" w:firstLine="645"/>
      </w:pPr>
      <w:r>
        <w:rPr>
          <w:rFonts w:hint="eastAsia" w:ascii="仿宋_GB2312" w:hAnsi="sans-serif" w:eastAsia="仿宋_GB2312" w:cs="仿宋_GB2312"/>
          <w:i w:val="0"/>
          <w:iCs w:val="0"/>
          <w:caps w:val="0"/>
          <w:color w:val="000000"/>
          <w:spacing w:val="0"/>
          <w:sz w:val="31"/>
          <w:szCs w:val="31"/>
        </w:rPr>
        <w:t>2、答复情况</w:t>
      </w:r>
    </w:p>
    <w:p>
      <w:pPr>
        <w:pStyle w:val="2"/>
        <w:keepNext w:val="0"/>
        <w:keepLines w:val="0"/>
        <w:widowControl/>
        <w:suppressLineNumbers w:val="0"/>
        <w:spacing w:before="75" w:beforeAutospacing="0" w:after="75" w:afterAutospacing="0" w:line="555" w:lineRule="atLeast"/>
        <w:ind w:left="0" w:right="0" w:firstLine="645"/>
      </w:pPr>
      <w:r>
        <w:rPr>
          <w:rFonts w:hint="eastAsia" w:ascii="仿宋_GB2312" w:hAnsi="sans-serif" w:eastAsia="仿宋_GB2312" w:cs="仿宋_GB2312"/>
          <w:i w:val="0"/>
          <w:iCs w:val="0"/>
          <w:caps w:val="0"/>
          <w:color w:val="000000"/>
          <w:spacing w:val="0"/>
          <w:sz w:val="31"/>
          <w:szCs w:val="31"/>
        </w:rPr>
        <w:t>在已经答复的2件申请中：</w:t>
      </w:r>
    </w:p>
    <w:p>
      <w:pPr>
        <w:pStyle w:val="2"/>
        <w:keepNext w:val="0"/>
        <w:keepLines w:val="0"/>
        <w:widowControl/>
        <w:suppressLineNumbers w:val="0"/>
        <w:spacing w:before="75" w:beforeAutospacing="0" w:after="75" w:afterAutospacing="0" w:line="555" w:lineRule="atLeast"/>
        <w:ind w:left="0" w:right="0" w:firstLine="645"/>
      </w:pPr>
      <w:r>
        <w:rPr>
          <w:rFonts w:hint="eastAsia" w:ascii="仿宋_GB2312" w:hAnsi="sans-serif" w:eastAsia="仿宋_GB2312" w:cs="仿宋_GB2312"/>
          <w:i w:val="0"/>
          <w:iCs w:val="0"/>
          <w:caps w:val="0"/>
          <w:color w:val="000000"/>
          <w:spacing w:val="0"/>
          <w:sz w:val="31"/>
          <w:szCs w:val="31"/>
        </w:rPr>
        <w:t>“同意公开”的2件，占总数的100%，主要涉及2016的安全生产情况及近三年时间我区有无安全生产事故发生。</w:t>
      </w:r>
    </w:p>
    <w:p>
      <w:pPr>
        <w:pStyle w:val="2"/>
        <w:keepNext w:val="0"/>
        <w:keepLines w:val="0"/>
        <w:widowControl/>
        <w:suppressLineNumbers w:val="0"/>
        <w:spacing w:before="75" w:beforeAutospacing="0" w:after="75" w:afterAutospacing="0" w:line="555" w:lineRule="atLeast"/>
        <w:ind w:left="0" w:right="0" w:firstLine="645"/>
      </w:pPr>
      <w:r>
        <w:rPr>
          <w:rStyle w:val="5"/>
          <w:rFonts w:hint="eastAsia" w:ascii="仿宋_GB2312" w:hAnsi="sans-serif" w:eastAsia="仿宋_GB2312" w:cs="仿宋_GB2312"/>
          <w:i w:val="0"/>
          <w:iCs w:val="0"/>
          <w:caps w:val="0"/>
          <w:color w:val="000000"/>
          <w:spacing w:val="0"/>
          <w:sz w:val="31"/>
          <w:szCs w:val="31"/>
        </w:rPr>
        <w:t>（三）咨询情况</w:t>
      </w:r>
    </w:p>
    <w:p>
      <w:pPr>
        <w:pStyle w:val="2"/>
        <w:keepNext w:val="0"/>
        <w:keepLines w:val="0"/>
        <w:widowControl/>
        <w:suppressLineNumbers w:val="0"/>
        <w:spacing w:before="75" w:beforeAutospacing="0" w:after="75" w:afterAutospacing="0" w:line="555" w:lineRule="atLeast"/>
        <w:ind w:left="0" w:right="0" w:firstLine="645"/>
      </w:pPr>
      <w:r>
        <w:rPr>
          <w:rFonts w:hint="eastAsia" w:ascii="仿宋_GB2312" w:hAnsi="sans-serif" w:eastAsia="仿宋_GB2312" w:cs="仿宋_GB2312"/>
          <w:i w:val="0"/>
          <w:iCs w:val="0"/>
          <w:caps w:val="0"/>
          <w:color w:val="000000"/>
          <w:spacing w:val="0"/>
          <w:sz w:val="31"/>
          <w:szCs w:val="31"/>
        </w:rPr>
        <w:t>2016年，我单位未收到公民、法人及其他组织政府信息公开方面的咨询请求。</w:t>
      </w:r>
    </w:p>
    <w:p>
      <w:pPr>
        <w:pStyle w:val="2"/>
        <w:keepNext w:val="0"/>
        <w:keepLines w:val="0"/>
        <w:widowControl/>
        <w:suppressLineNumbers w:val="0"/>
        <w:spacing w:before="75" w:beforeAutospacing="0" w:after="75" w:afterAutospacing="0" w:line="555" w:lineRule="atLeast"/>
        <w:ind w:left="0" w:right="0" w:firstLine="645"/>
      </w:pPr>
      <w:r>
        <w:rPr>
          <w:rStyle w:val="5"/>
          <w:rFonts w:hint="default" w:ascii="楷体_GB2312" w:hAnsi="sans-serif" w:eastAsia="楷体_GB2312" w:cs="楷体_GB2312"/>
          <w:i w:val="0"/>
          <w:iCs w:val="0"/>
          <w:caps w:val="0"/>
          <w:color w:val="000000"/>
          <w:spacing w:val="0"/>
          <w:sz w:val="31"/>
          <w:szCs w:val="31"/>
        </w:rPr>
        <w:t>（四）行政复议、诉讼及举报情况</w:t>
      </w:r>
    </w:p>
    <w:p>
      <w:pPr>
        <w:pStyle w:val="2"/>
        <w:keepNext w:val="0"/>
        <w:keepLines w:val="0"/>
        <w:widowControl/>
        <w:suppressLineNumbers w:val="0"/>
        <w:spacing w:before="75" w:beforeAutospacing="0" w:after="75" w:afterAutospacing="0" w:line="555" w:lineRule="atLeast"/>
        <w:ind w:left="0" w:right="0" w:firstLine="645"/>
      </w:pPr>
      <w:r>
        <w:rPr>
          <w:rFonts w:hint="eastAsia" w:ascii="仿宋_GB2312" w:hAnsi="sans-serif" w:eastAsia="仿宋_GB2312" w:cs="仿宋_GB2312"/>
          <w:i w:val="0"/>
          <w:iCs w:val="0"/>
          <w:caps w:val="0"/>
          <w:color w:val="000000"/>
          <w:spacing w:val="0"/>
          <w:sz w:val="31"/>
          <w:szCs w:val="31"/>
        </w:rPr>
        <w:t>2016年，我单位政府信息公开未涉及行政复议、行政诉讼案件。</w:t>
      </w:r>
    </w:p>
    <w:p>
      <w:pPr>
        <w:pStyle w:val="2"/>
        <w:keepNext w:val="0"/>
        <w:keepLines w:val="0"/>
        <w:widowControl/>
        <w:suppressLineNumbers w:val="0"/>
        <w:spacing w:before="0" w:beforeAutospacing="0" w:after="0" w:afterAutospacing="0" w:line="555" w:lineRule="atLeast"/>
        <w:ind w:left="1725" w:right="0"/>
      </w:pPr>
      <w:r>
        <w:rPr>
          <w:rStyle w:val="5"/>
          <w:rFonts w:hint="default" w:ascii="楷体_GB2312" w:hAnsi="sans-serif" w:eastAsia="楷体_GB2312" w:cs="楷体_GB2312"/>
          <w:i w:val="0"/>
          <w:iCs w:val="0"/>
          <w:caps w:val="0"/>
          <w:color w:val="000000"/>
          <w:spacing w:val="0"/>
          <w:sz w:val="31"/>
          <w:szCs w:val="31"/>
        </w:rPr>
        <w:t>（五） 保障培训情况</w:t>
      </w:r>
    </w:p>
    <w:p>
      <w:pPr>
        <w:pStyle w:val="2"/>
        <w:keepNext w:val="0"/>
        <w:keepLines w:val="0"/>
        <w:widowControl/>
        <w:suppressLineNumbers w:val="0"/>
        <w:spacing w:before="75" w:beforeAutospacing="0" w:after="75" w:afterAutospacing="0" w:line="555" w:lineRule="atLeast"/>
        <w:ind w:left="0" w:right="0" w:firstLine="645"/>
      </w:pPr>
      <w:r>
        <w:rPr>
          <w:rFonts w:hint="eastAsia" w:ascii="仿宋_GB2312" w:hAnsi="sans-serif" w:eastAsia="仿宋_GB2312" w:cs="仿宋_GB2312"/>
          <w:i w:val="0"/>
          <w:iCs w:val="0"/>
          <w:caps w:val="0"/>
          <w:color w:val="000000"/>
          <w:spacing w:val="0"/>
          <w:sz w:val="31"/>
          <w:szCs w:val="31"/>
        </w:rPr>
        <w:t>2016年下半年，我局邀请区政府办夏淑敏主任及信息公开办公室相关领导为安监局全体干部，共五十余人，讲授如何做好政务公开工作进行专题培训，为安监局进一步做好政务公开工作指明了方向，强化了政务公开工作人员的责任感，明确了公开目标，推动了安监局政务公开工作向科学化、规范化发展。</w:t>
      </w:r>
    </w:p>
    <w:p>
      <w:pPr>
        <w:pStyle w:val="2"/>
        <w:keepNext w:val="0"/>
        <w:keepLines w:val="0"/>
        <w:widowControl/>
        <w:suppressLineNumbers w:val="0"/>
        <w:spacing w:before="75" w:beforeAutospacing="0" w:after="75" w:afterAutospacing="0" w:line="555" w:lineRule="atLeast"/>
        <w:ind w:left="0" w:right="0" w:firstLine="645"/>
      </w:pPr>
      <w:r>
        <w:rPr>
          <w:rFonts w:hint="eastAsia" w:ascii="黑体" w:hAnsi="宋体" w:eastAsia="黑体" w:cs="黑体"/>
          <w:i w:val="0"/>
          <w:iCs w:val="0"/>
          <w:caps w:val="0"/>
          <w:color w:val="000000"/>
          <w:spacing w:val="0"/>
          <w:sz w:val="31"/>
          <w:szCs w:val="31"/>
        </w:rPr>
        <w:t>四、存在的不足及改进措施</w:t>
      </w:r>
    </w:p>
    <w:p>
      <w:pPr>
        <w:pStyle w:val="2"/>
        <w:keepNext w:val="0"/>
        <w:keepLines w:val="0"/>
        <w:widowControl/>
        <w:suppressLineNumbers w:val="0"/>
        <w:spacing w:before="75" w:beforeAutospacing="0" w:after="75" w:afterAutospacing="0" w:line="555" w:lineRule="atLeast"/>
        <w:ind w:left="0" w:right="0" w:firstLine="645"/>
      </w:pPr>
      <w:r>
        <w:rPr>
          <w:rFonts w:hint="eastAsia" w:ascii="仿宋_GB2312" w:hAnsi="sans-serif" w:eastAsia="仿宋_GB2312" w:cs="仿宋_GB2312"/>
          <w:i w:val="0"/>
          <w:iCs w:val="0"/>
          <w:caps w:val="0"/>
          <w:color w:val="000000"/>
          <w:spacing w:val="0"/>
          <w:sz w:val="31"/>
          <w:szCs w:val="31"/>
        </w:rPr>
        <w:t>（一）存在的问题。</w:t>
      </w:r>
    </w:p>
    <w:p>
      <w:pPr>
        <w:pStyle w:val="2"/>
        <w:keepNext w:val="0"/>
        <w:keepLines w:val="0"/>
        <w:widowControl/>
        <w:suppressLineNumbers w:val="0"/>
        <w:spacing w:before="75" w:beforeAutospacing="0" w:after="75" w:afterAutospacing="0" w:line="555" w:lineRule="atLeast"/>
        <w:ind w:left="0" w:right="0" w:firstLine="645"/>
      </w:pPr>
      <w:r>
        <w:rPr>
          <w:rFonts w:hint="eastAsia" w:ascii="仿宋_GB2312" w:hAnsi="sans-serif" w:eastAsia="仿宋_GB2312" w:cs="仿宋_GB2312"/>
          <w:i w:val="0"/>
          <w:iCs w:val="0"/>
          <w:caps w:val="0"/>
          <w:color w:val="000000"/>
          <w:spacing w:val="0"/>
          <w:sz w:val="31"/>
          <w:szCs w:val="31"/>
        </w:rPr>
        <w:t>一是对政务公开工作的</w:t>
      </w:r>
      <w:r>
        <w:rPr>
          <w:rFonts w:hint="eastAsia" w:ascii="仿宋_GB2312" w:hAnsi="sans-serif" w:eastAsia="仿宋_GB2312" w:cs="仿宋_GB2312"/>
          <w:i w:val="0"/>
          <w:iCs w:val="0"/>
          <w:caps w:val="0"/>
          <w:spacing w:val="0"/>
          <w:sz w:val="31"/>
          <w:szCs w:val="31"/>
        </w:rPr>
        <w:fldChar w:fldCharType="begin"/>
      </w:r>
      <w:r>
        <w:rPr>
          <w:rFonts w:hint="eastAsia" w:ascii="仿宋_GB2312" w:hAnsi="sans-serif" w:eastAsia="仿宋_GB2312" w:cs="仿宋_GB2312"/>
          <w:i w:val="0"/>
          <w:iCs w:val="0"/>
          <w:caps w:val="0"/>
          <w:spacing w:val="0"/>
          <w:sz w:val="31"/>
          <w:szCs w:val="31"/>
        </w:rPr>
        <w:instrText xml:space="preserve"> HYPERLINK "http://www.unjs.com/Special/renshishixibaogao/" \t "_blank" </w:instrText>
      </w:r>
      <w:r>
        <w:rPr>
          <w:rFonts w:hint="eastAsia" w:ascii="仿宋_GB2312" w:hAnsi="sans-serif" w:eastAsia="仿宋_GB2312" w:cs="仿宋_GB2312"/>
          <w:i w:val="0"/>
          <w:iCs w:val="0"/>
          <w:caps w:val="0"/>
          <w:spacing w:val="0"/>
          <w:sz w:val="31"/>
          <w:szCs w:val="31"/>
        </w:rPr>
        <w:fldChar w:fldCharType="separate"/>
      </w:r>
      <w:r>
        <w:rPr>
          <w:rStyle w:val="6"/>
          <w:rFonts w:hint="eastAsia" w:ascii="仿宋_GB2312" w:hAnsi="sans-serif" w:eastAsia="仿宋_GB2312" w:cs="仿宋_GB2312"/>
          <w:i w:val="0"/>
          <w:iCs w:val="0"/>
          <w:caps w:val="0"/>
          <w:color w:val="auto"/>
          <w:spacing w:val="0"/>
          <w:sz w:val="31"/>
          <w:szCs w:val="31"/>
        </w:rPr>
        <w:t>认识</w:t>
      </w:r>
      <w:r>
        <w:rPr>
          <w:rFonts w:hint="eastAsia" w:ascii="仿宋_GB2312" w:hAnsi="sans-serif" w:eastAsia="仿宋_GB2312" w:cs="仿宋_GB2312"/>
          <w:i w:val="0"/>
          <w:iCs w:val="0"/>
          <w:caps w:val="0"/>
          <w:spacing w:val="0"/>
          <w:sz w:val="31"/>
          <w:szCs w:val="31"/>
        </w:rPr>
        <w:fldChar w:fldCharType="end"/>
      </w:r>
      <w:r>
        <w:rPr>
          <w:rFonts w:hint="eastAsia" w:ascii="仿宋_GB2312" w:hAnsi="sans-serif" w:eastAsia="仿宋_GB2312" w:cs="仿宋_GB2312"/>
          <w:i w:val="0"/>
          <w:iCs w:val="0"/>
          <w:caps w:val="0"/>
          <w:color w:val="000000"/>
          <w:spacing w:val="0"/>
          <w:sz w:val="31"/>
          <w:szCs w:val="31"/>
        </w:rPr>
        <w:t>不够，工作中各类可公开的信息未能及时高效的公开，不能满足公众的需求；二是信息公开工作中存在死角，需要不断拓宽政务公开宣传的渠道；三是信息公开的广度和深度需要延伸，特别是重点领域的信息公开力度，还需进一步提高。</w:t>
      </w:r>
    </w:p>
    <w:p>
      <w:pPr>
        <w:pStyle w:val="2"/>
        <w:keepNext w:val="0"/>
        <w:keepLines w:val="0"/>
        <w:widowControl/>
        <w:suppressLineNumbers w:val="0"/>
        <w:spacing w:before="75" w:beforeAutospacing="0" w:after="75" w:afterAutospacing="0" w:line="555" w:lineRule="atLeast"/>
        <w:ind w:left="0" w:right="0" w:firstLine="645"/>
      </w:pPr>
      <w:r>
        <w:rPr>
          <w:rFonts w:hint="eastAsia" w:ascii="仿宋_GB2312" w:hAnsi="sans-serif" w:eastAsia="仿宋_GB2312" w:cs="仿宋_GB2312"/>
          <w:i w:val="0"/>
          <w:iCs w:val="0"/>
          <w:caps w:val="0"/>
          <w:color w:val="000000"/>
          <w:spacing w:val="0"/>
          <w:sz w:val="31"/>
          <w:szCs w:val="31"/>
        </w:rPr>
        <w:t>（二）2017年改进措施</w:t>
      </w:r>
    </w:p>
    <w:p>
      <w:pPr>
        <w:pStyle w:val="2"/>
        <w:keepNext w:val="0"/>
        <w:keepLines w:val="0"/>
        <w:widowControl/>
        <w:suppressLineNumbers w:val="0"/>
        <w:spacing w:before="75" w:beforeAutospacing="0" w:after="75" w:afterAutospacing="0" w:line="555" w:lineRule="atLeast"/>
        <w:ind w:left="0" w:right="0" w:firstLine="795"/>
      </w:pPr>
      <w:r>
        <w:rPr>
          <w:rFonts w:hint="eastAsia" w:ascii="仿宋_GB2312" w:hAnsi="sans-serif" w:eastAsia="仿宋_GB2312" w:cs="仿宋_GB2312"/>
          <w:i w:val="0"/>
          <w:iCs w:val="0"/>
          <w:caps w:val="0"/>
          <w:color w:val="000000"/>
          <w:spacing w:val="0"/>
          <w:sz w:val="31"/>
          <w:szCs w:val="31"/>
        </w:rPr>
        <w:t>一是进一步提高对政务公开工作的</w:t>
      </w:r>
      <w:r>
        <w:rPr>
          <w:rFonts w:hint="eastAsia" w:ascii="仿宋_GB2312" w:hAnsi="sans-serif" w:eastAsia="仿宋_GB2312" w:cs="仿宋_GB2312"/>
          <w:i w:val="0"/>
          <w:iCs w:val="0"/>
          <w:caps w:val="0"/>
          <w:spacing w:val="0"/>
          <w:sz w:val="31"/>
          <w:szCs w:val="31"/>
        </w:rPr>
        <w:fldChar w:fldCharType="begin"/>
      </w:r>
      <w:r>
        <w:rPr>
          <w:rFonts w:hint="eastAsia" w:ascii="仿宋_GB2312" w:hAnsi="sans-serif" w:eastAsia="仿宋_GB2312" w:cs="仿宋_GB2312"/>
          <w:i w:val="0"/>
          <w:iCs w:val="0"/>
          <w:caps w:val="0"/>
          <w:spacing w:val="0"/>
          <w:sz w:val="31"/>
          <w:szCs w:val="31"/>
        </w:rPr>
        <w:instrText xml:space="preserve"> HYPERLINK "http://www.unjs.com/Special/renshishixibaogao/" \t "_blank" </w:instrText>
      </w:r>
      <w:r>
        <w:rPr>
          <w:rFonts w:hint="eastAsia" w:ascii="仿宋_GB2312" w:hAnsi="sans-serif" w:eastAsia="仿宋_GB2312" w:cs="仿宋_GB2312"/>
          <w:i w:val="0"/>
          <w:iCs w:val="0"/>
          <w:caps w:val="0"/>
          <w:spacing w:val="0"/>
          <w:sz w:val="31"/>
          <w:szCs w:val="31"/>
        </w:rPr>
        <w:fldChar w:fldCharType="separate"/>
      </w:r>
      <w:r>
        <w:rPr>
          <w:rStyle w:val="6"/>
          <w:rFonts w:hint="eastAsia" w:ascii="仿宋_GB2312" w:hAnsi="sans-serif" w:eastAsia="仿宋_GB2312" w:cs="仿宋_GB2312"/>
          <w:i w:val="0"/>
          <w:iCs w:val="0"/>
          <w:caps w:val="0"/>
          <w:color w:val="auto"/>
          <w:spacing w:val="0"/>
          <w:sz w:val="31"/>
          <w:szCs w:val="31"/>
        </w:rPr>
        <w:t>认识</w:t>
      </w:r>
      <w:r>
        <w:rPr>
          <w:rFonts w:hint="eastAsia" w:ascii="仿宋_GB2312" w:hAnsi="sans-serif" w:eastAsia="仿宋_GB2312" w:cs="仿宋_GB2312"/>
          <w:i w:val="0"/>
          <w:iCs w:val="0"/>
          <w:caps w:val="0"/>
          <w:spacing w:val="0"/>
          <w:sz w:val="31"/>
          <w:szCs w:val="31"/>
        </w:rPr>
        <w:fldChar w:fldCharType="end"/>
      </w:r>
      <w:r>
        <w:rPr>
          <w:rFonts w:hint="eastAsia" w:ascii="仿宋_GB2312" w:hAnsi="sans-serif" w:eastAsia="仿宋_GB2312" w:cs="仿宋_GB2312"/>
          <w:i w:val="0"/>
          <w:iCs w:val="0"/>
          <w:caps w:val="0"/>
          <w:color w:val="000000"/>
          <w:spacing w:val="0"/>
          <w:sz w:val="31"/>
          <w:szCs w:val="31"/>
        </w:rPr>
        <w:t>。切实提高大家对做好政务公开工作的认识，把它作为一项重要</w:t>
      </w:r>
      <w:r>
        <w:rPr>
          <w:rFonts w:hint="eastAsia" w:ascii="仿宋_GB2312" w:hAnsi="sans-serif" w:eastAsia="仿宋_GB2312" w:cs="仿宋_GB2312"/>
          <w:i w:val="0"/>
          <w:iCs w:val="0"/>
          <w:caps w:val="0"/>
          <w:spacing w:val="0"/>
          <w:sz w:val="31"/>
          <w:szCs w:val="31"/>
        </w:rPr>
        <w:fldChar w:fldCharType="begin"/>
      </w:r>
      <w:r>
        <w:rPr>
          <w:rFonts w:hint="eastAsia" w:ascii="仿宋_GB2312" w:hAnsi="sans-serif" w:eastAsia="仿宋_GB2312" w:cs="仿宋_GB2312"/>
          <w:i w:val="0"/>
          <w:iCs w:val="0"/>
          <w:caps w:val="0"/>
          <w:spacing w:val="0"/>
          <w:sz w:val="31"/>
          <w:szCs w:val="31"/>
        </w:rPr>
        <w:instrText xml:space="preserve"> HYPERLINK "http://www.unjs.com/Special/gongzuocuoshi/" \t "_blank" </w:instrText>
      </w:r>
      <w:r>
        <w:rPr>
          <w:rFonts w:hint="eastAsia" w:ascii="仿宋_GB2312" w:hAnsi="sans-serif" w:eastAsia="仿宋_GB2312" w:cs="仿宋_GB2312"/>
          <w:i w:val="0"/>
          <w:iCs w:val="0"/>
          <w:caps w:val="0"/>
          <w:spacing w:val="0"/>
          <w:sz w:val="31"/>
          <w:szCs w:val="31"/>
        </w:rPr>
        <w:fldChar w:fldCharType="separate"/>
      </w:r>
      <w:r>
        <w:rPr>
          <w:rStyle w:val="6"/>
          <w:rFonts w:hint="eastAsia" w:ascii="仿宋_GB2312" w:hAnsi="sans-serif" w:eastAsia="仿宋_GB2312" w:cs="仿宋_GB2312"/>
          <w:i w:val="0"/>
          <w:iCs w:val="0"/>
          <w:caps w:val="0"/>
          <w:color w:val="auto"/>
          <w:spacing w:val="0"/>
          <w:sz w:val="31"/>
          <w:szCs w:val="31"/>
        </w:rPr>
        <w:t>工作来抓</w:t>
      </w:r>
      <w:r>
        <w:rPr>
          <w:rFonts w:hint="eastAsia" w:ascii="仿宋_GB2312" w:hAnsi="sans-serif" w:eastAsia="仿宋_GB2312" w:cs="仿宋_GB2312"/>
          <w:i w:val="0"/>
          <w:iCs w:val="0"/>
          <w:caps w:val="0"/>
          <w:spacing w:val="0"/>
          <w:sz w:val="31"/>
          <w:szCs w:val="31"/>
        </w:rPr>
        <w:fldChar w:fldCharType="end"/>
      </w:r>
      <w:r>
        <w:rPr>
          <w:rFonts w:hint="eastAsia" w:ascii="仿宋_GB2312" w:hAnsi="sans-serif" w:eastAsia="仿宋_GB2312" w:cs="仿宋_GB2312"/>
          <w:i w:val="0"/>
          <w:iCs w:val="0"/>
          <w:caps w:val="0"/>
          <w:color w:val="000000"/>
          <w:spacing w:val="0"/>
          <w:sz w:val="31"/>
          <w:szCs w:val="31"/>
        </w:rPr>
        <w:t>。</w:t>
      </w:r>
      <w:r>
        <w:rPr>
          <w:rFonts w:hint="eastAsia" w:ascii="仿宋_GB2312" w:hAnsi="sans-serif" w:eastAsia="仿宋_GB2312" w:cs="仿宋_GB2312"/>
          <w:i w:val="0"/>
          <w:iCs w:val="0"/>
          <w:caps w:val="0"/>
          <w:color w:val="000000"/>
          <w:spacing w:val="0"/>
          <w:sz w:val="31"/>
          <w:szCs w:val="31"/>
        </w:rPr>
        <w:br w:type="textWrapping"/>
      </w:r>
      <w:r>
        <w:rPr>
          <w:rFonts w:hint="eastAsia" w:ascii="仿宋_GB2312" w:hAnsi="sans-serif" w:eastAsia="仿宋_GB2312" w:cs="仿宋_GB2312"/>
          <w:i w:val="0"/>
          <w:iCs w:val="0"/>
          <w:caps w:val="0"/>
          <w:color w:val="000000"/>
          <w:spacing w:val="0"/>
          <w:sz w:val="31"/>
          <w:szCs w:val="31"/>
        </w:rPr>
        <w:t>　　二是进一步结合实际，提高公开实效。进一步要求各科室队紧紧围绕本单位行政职责实施政务公开、真正立足于服务群众，立足于解决问题，在办实事、见实效上下功夫。</w:t>
      </w:r>
      <w:r>
        <w:rPr>
          <w:rFonts w:hint="eastAsia" w:ascii="仿宋_GB2312" w:hAnsi="sans-serif" w:eastAsia="仿宋_GB2312" w:cs="仿宋_GB2312"/>
          <w:i w:val="0"/>
          <w:iCs w:val="0"/>
          <w:caps w:val="0"/>
          <w:color w:val="000000"/>
          <w:spacing w:val="0"/>
          <w:sz w:val="31"/>
          <w:szCs w:val="31"/>
        </w:rPr>
        <w:br w:type="textWrapping"/>
      </w:r>
      <w:r>
        <w:rPr>
          <w:rFonts w:hint="eastAsia" w:ascii="仿宋_GB2312" w:hAnsi="sans-serif" w:eastAsia="仿宋_GB2312" w:cs="仿宋_GB2312"/>
          <w:i w:val="0"/>
          <w:iCs w:val="0"/>
          <w:caps w:val="0"/>
          <w:color w:val="000000"/>
          <w:spacing w:val="0"/>
          <w:sz w:val="31"/>
          <w:szCs w:val="31"/>
        </w:rPr>
        <w:t>    三是提高政务公开面，拓宽政务公开宣传渠道。认真解决政务公开工作中的死角，不断拓宽政务公开宣传渠道，真正做到全面、彻底的公开。</w:t>
      </w:r>
    </w:p>
    <w:p>
      <w:pPr>
        <w:pStyle w:val="2"/>
        <w:keepNext w:val="0"/>
        <w:keepLines w:val="0"/>
        <w:widowControl/>
        <w:suppressLineNumbers w:val="0"/>
        <w:spacing w:before="75" w:beforeAutospacing="0" w:after="75" w:afterAutospacing="0" w:line="555" w:lineRule="atLeast"/>
        <w:ind w:left="0" w:right="0"/>
      </w:pPr>
      <w:r>
        <w:rPr>
          <w:rFonts w:hint="eastAsia" w:ascii="仿宋_GB2312" w:hAnsi="sans-serif" w:eastAsia="仿宋_GB2312" w:cs="仿宋_GB2312"/>
          <w:i w:val="0"/>
          <w:iCs w:val="0"/>
          <w:caps w:val="0"/>
          <w:color w:val="000000"/>
          <w:spacing w:val="0"/>
          <w:sz w:val="31"/>
          <w:szCs w:val="31"/>
        </w:rPr>
        <w:t> </w:t>
      </w:r>
    </w:p>
    <w:p>
      <w:pPr>
        <w:pStyle w:val="2"/>
        <w:keepNext w:val="0"/>
        <w:keepLines w:val="0"/>
        <w:widowControl/>
        <w:suppressLineNumbers w:val="0"/>
        <w:spacing w:before="75" w:beforeAutospacing="0" w:after="75" w:afterAutospacing="0" w:line="555" w:lineRule="atLeast"/>
        <w:ind w:left="0" w:right="0"/>
      </w:pPr>
      <w:r>
        <w:rPr>
          <w:rFonts w:hint="eastAsia" w:ascii="仿宋_GB2312" w:hAnsi="sans-serif" w:eastAsia="仿宋_GB2312" w:cs="仿宋_GB2312"/>
          <w:i w:val="0"/>
          <w:iCs w:val="0"/>
          <w:caps w:val="0"/>
          <w:color w:val="000000"/>
          <w:spacing w:val="0"/>
          <w:sz w:val="31"/>
          <w:szCs w:val="31"/>
        </w:rPr>
        <w:t> </w:t>
      </w:r>
    </w:p>
    <w:p>
      <w:pPr>
        <w:pStyle w:val="2"/>
        <w:keepNext w:val="0"/>
        <w:keepLines w:val="0"/>
        <w:widowControl/>
        <w:suppressLineNumbers w:val="0"/>
        <w:spacing w:before="75" w:beforeAutospacing="0" w:after="75" w:afterAutospacing="0" w:line="555" w:lineRule="atLeast"/>
        <w:ind w:left="0" w:right="0"/>
      </w:pPr>
      <w:r>
        <w:rPr>
          <w:rFonts w:hint="eastAsia" w:ascii="黑体" w:hAnsi="宋体" w:eastAsia="黑体" w:cs="黑体"/>
          <w:i w:val="0"/>
          <w:iCs w:val="0"/>
          <w:caps w:val="0"/>
          <w:color w:val="000000"/>
          <w:spacing w:val="0"/>
          <w:sz w:val="31"/>
          <w:szCs w:val="31"/>
        </w:rPr>
        <w:t> </w:t>
      </w:r>
    </w:p>
    <w:p>
      <w:pPr>
        <w:pStyle w:val="2"/>
        <w:keepNext w:val="0"/>
        <w:keepLines w:val="0"/>
        <w:widowControl/>
        <w:suppressLineNumbers w:val="0"/>
        <w:spacing w:before="75" w:beforeAutospacing="0" w:after="75" w:afterAutospacing="0" w:line="555" w:lineRule="atLeast"/>
        <w:ind w:left="0" w:right="0"/>
      </w:pPr>
      <w:r>
        <w:rPr>
          <w:rFonts w:hint="eastAsia" w:ascii="黑体" w:hAnsi="宋体" w:eastAsia="黑体" w:cs="黑体"/>
          <w:i w:val="0"/>
          <w:iCs w:val="0"/>
          <w:caps w:val="0"/>
          <w:color w:val="000000"/>
          <w:spacing w:val="0"/>
          <w:sz w:val="31"/>
          <w:szCs w:val="31"/>
        </w:rPr>
        <w:t> </w:t>
      </w:r>
    </w:p>
    <w:p>
      <w:pPr>
        <w:pStyle w:val="2"/>
        <w:keepNext w:val="0"/>
        <w:keepLines w:val="0"/>
        <w:widowControl/>
        <w:suppressLineNumbers w:val="0"/>
        <w:spacing w:before="75" w:beforeAutospacing="0" w:after="75" w:afterAutospacing="0" w:line="555" w:lineRule="atLeast"/>
        <w:ind w:left="0" w:right="0"/>
      </w:pPr>
      <w:r>
        <w:rPr>
          <w:rFonts w:hint="eastAsia" w:ascii="黑体" w:hAnsi="宋体" w:eastAsia="黑体" w:cs="黑体"/>
          <w:i w:val="0"/>
          <w:iCs w:val="0"/>
          <w:caps w:val="0"/>
          <w:color w:val="000000"/>
          <w:spacing w:val="0"/>
          <w:sz w:val="31"/>
          <w:szCs w:val="31"/>
        </w:rPr>
        <w:t>附表：政府信息公开情况统计表（2016年度）</w:t>
      </w:r>
    </w:p>
    <w:p>
      <w:pPr>
        <w:pStyle w:val="2"/>
        <w:keepNext w:val="0"/>
        <w:keepLines w:val="0"/>
        <w:widowControl/>
        <w:suppressLineNumbers w:val="0"/>
        <w:spacing w:before="75" w:beforeAutospacing="0" w:after="75" w:afterAutospacing="0" w:line="555" w:lineRule="atLeast"/>
        <w:ind w:left="0" w:right="0"/>
      </w:pPr>
      <w:r>
        <w:rPr>
          <w:rFonts w:hint="eastAsia" w:ascii="黑体" w:hAnsi="宋体" w:eastAsia="黑体" w:cs="黑体"/>
          <w:i w:val="0"/>
          <w:iCs w:val="0"/>
          <w:caps w:val="0"/>
          <w:color w:val="000000"/>
          <w:spacing w:val="0"/>
          <w:sz w:val="31"/>
          <w:szCs w:val="31"/>
        </w:rPr>
        <w:t> </w:t>
      </w:r>
    </w:p>
    <w:tbl>
      <w:tblPr>
        <w:tblStyle w:val="3"/>
        <w:tblW w:w="9459"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293"/>
        <w:gridCol w:w="278"/>
        <w:gridCol w:w="469"/>
        <w:gridCol w:w="234"/>
        <w:gridCol w:w="121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08" w:hRule="atLeast"/>
        </w:trPr>
        <w:tc>
          <w:tcPr>
            <w:tcW w:w="7293" w:type="dxa"/>
            <w:tcBorders>
              <w:top w:val="nil"/>
              <w:left w:val="nil"/>
              <w:bottom w:val="nil"/>
              <w:right w:val="nil"/>
            </w:tcBorders>
            <w:shd w:val="clear" w:color="auto" w:fill="auto"/>
            <w:noWrap/>
            <w:tcMar>
              <w:left w:w="105" w:type="dxa"/>
              <w:right w:w="105" w:type="dxa"/>
            </w:tcMar>
            <w:vAlign w:val="center"/>
          </w:tcPr>
          <w:p>
            <w:pPr>
              <w:keepNext w:val="0"/>
              <w:keepLines w:val="0"/>
              <w:widowControl/>
              <w:suppressLineNumbers w:val="0"/>
              <w:jc w:val="left"/>
            </w:pPr>
          </w:p>
        </w:tc>
        <w:tc>
          <w:tcPr>
            <w:tcW w:w="747" w:type="dxa"/>
            <w:gridSpan w:val="2"/>
            <w:tcBorders>
              <w:top w:val="nil"/>
              <w:left w:val="nil"/>
              <w:bottom w:val="nil"/>
              <w:right w:val="nil"/>
            </w:tcBorders>
            <w:shd w:val="clear" w:color="auto" w:fill="auto"/>
            <w:noWrap/>
            <w:tcMar>
              <w:left w:w="105" w:type="dxa"/>
              <w:right w:w="105" w:type="dxa"/>
            </w:tcMar>
            <w:vAlign w:val="center"/>
          </w:tcPr>
          <w:p>
            <w:pPr>
              <w:keepNext w:val="0"/>
              <w:keepLines w:val="0"/>
              <w:widowControl/>
              <w:suppressLineNumbers w:val="0"/>
              <w:jc w:val="left"/>
            </w:pPr>
          </w:p>
        </w:tc>
        <w:tc>
          <w:tcPr>
            <w:tcW w:w="1419" w:type="dxa"/>
            <w:gridSpan w:val="2"/>
            <w:tcBorders>
              <w:top w:val="nil"/>
              <w:left w:val="nil"/>
              <w:bottom w:val="nil"/>
              <w:right w:val="nil"/>
            </w:tcBorders>
            <w:shd w:val="clear" w:color="auto" w:fill="auto"/>
            <w:noWrap/>
            <w:tcMar>
              <w:left w:w="105"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19" w:hRule="atLeast"/>
        </w:trPr>
        <w:tc>
          <w:tcPr>
            <w:tcW w:w="9459" w:type="dxa"/>
            <w:gridSpan w:val="5"/>
            <w:tcBorders>
              <w:top w:val="nil"/>
              <w:left w:val="nil"/>
              <w:bottom w:val="nil"/>
              <w:right w:val="nil"/>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方正小标宋简体" w:hAnsi="方正小标宋简体" w:eastAsia="方正小标宋简体" w:cs="方正小标宋简体"/>
                <w:color w:val="000000"/>
                <w:sz w:val="43"/>
                <w:szCs w:val="43"/>
              </w:rPr>
              <w:t>政府信息公开情况统计表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9" w:hRule="atLeast"/>
        </w:trPr>
        <w:tc>
          <w:tcPr>
            <w:tcW w:w="9459" w:type="dxa"/>
            <w:gridSpan w:val="5"/>
            <w:tcBorders>
              <w:top w:val="nil"/>
              <w:left w:val="nil"/>
              <w:bottom w:val="nil"/>
              <w:right w:val="nil"/>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楷体_GB2312" w:eastAsia="楷体_GB2312" w:cs="楷体_GB2312"/>
                <w:sz w:val="31"/>
                <w:szCs w:val="31"/>
              </w:rPr>
              <w:t>（ 2016 年度）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41" w:hRule="atLeast"/>
        </w:trPr>
        <w:tc>
          <w:tcPr>
            <w:tcW w:w="7571" w:type="dxa"/>
            <w:gridSpan w:val="2"/>
            <w:tcBorders>
              <w:top w:val="nil"/>
              <w:left w:val="nil"/>
              <w:bottom w:val="nil"/>
              <w:right w:val="nil"/>
            </w:tcBorders>
            <w:shd w:val="clear" w:color="auto" w:fill="auto"/>
            <w:noWrap/>
            <w:tcMar>
              <w:left w:w="105" w:type="dxa"/>
              <w:right w:w="105" w:type="dxa"/>
            </w:tcMar>
            <w:vAlign w:val="center"/>
          </w:tcPr>
          <w:p>
            <w:pPr>
              <w:keepNext w:val="0"/>
              <w:keepLines w:val="0"/>
              <w:widowControl/>
              <w:suppressLineNumbers w:val="0"/>
              <w:jc w:val="left"/>
            </w:pPr>
          </w:p>
        </w:tc>
        <w:tc>
          <w:tcPr>
            <w:tcW w:w="703" w:type="dxa"/>
            <w:gridSpan w:val="2"/>
            <w:tcBorders>
              <w:top w:val="nil"/>
              <w:left w:val="nil"/>
              <w:bottom w:val="nil"/>
              <w:right w:val="nil"/>
            </w:tcBorders>
            <w:shd w:val="clear" w:color="auto" w:fill="auto"/>
            <w:noWrap/>
            <w:tcMar>
              <w:left w:w="105" w:type="dxa"/>
              <w:right w:w="105" w:type="dxa"/>
            </w:tcMar>
            <w:vAlign w:val="center"/>
          </w:tcPr>
          <w:p>
            <w:pPr>
              <w:keepNext w:val="0"/>
              <w:keepLines w:val="0"/>
              <w:widowControl/>
              <w:suppressLineNumbers w:val="0"/>
              <w:jc w:val="left"/>
            </w:pPr>
          </w:p>
        </w:tc>
        <w:tc>
          <w:tcPr>
            <w:tcW w:w="1185" w:type="dxa"/>
            <w:tcBorders>
              <w:top w:val="nil"/>
              <w:left w:val="nil"/>
              <w:bottom w:val="nil"/>
              <w:right w:val="nil"/>
            </w:tcBorders>
            <w:shd w:val="clear" w:color="auto" w:fill="auto"/>
            <w:noWrap/>
            <w:tcMar>
              <w:left w:w="105"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9" w:hRule="atLeast"/>
        </w:trPr>
        <w:tc>
          <w:tcPr>
            <w:tcW w:w="7571" w:type="dxa"/>
            <w:gridSpan w:val="2"/>
            <w:tcBorders>
              <w:top w:val="nil"/>
              <w:left w:val="nil"/>
              <w:bottom w:val="single" w:color="auto" w:sz="6" w:space="0"/>
              <w:right w:val="nil"/>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填报单位（盖章）：</w:t>
            </w:r>
          </w:p>
        </w:tc>
        <w:tc>
          <w:tcPr>
            <w:tcW w:w="703" w:type="dxa"/>
            <w:gridSpan w:val="2"/>
            <w:tcBorders>
              <w:top w:val="nil"/>
              <w:left w:val="nil"/>
              <w:bottom w:val="single" w:color="auto" w:sz="6" w:space="0"/>
              <w:right w:val="nil"/>
            </w:tcBorders>
            <w:shd w:val="clear" w:color="auto" w:fill="auto"/>
            <w:noWrap/>
            <w:tcMar>
              <w:left w:w="105" w:type="dxa"/>
              <w:right w:w="105" w:type="dxa"/>
            </w:tcMar>
            <w:vAlign w:val="center"/>
          </w:tcPr>
          <w:p>
            <w:pPr>
              <w:keepNext w:val="0"/>
              <w:keepLines w:val="0"/>
              <w:widowControl/>
              <w:suppressLineNumbers w:val="0"/>
              <w:jc w:val="left"/>
            </w:pPr>
          </w:p>
        </w:tc>
        <w:tc>
          <w:tcPr>
            <w:tcW w:w="1185" w:type="dxa"/>
            <w:tcBorders>
              <w:top w:val="nil"/>
              <w:left w:val="nil"/>
              <w:bottom w:val="single" w:color="auto" w:sz="6" w:space="0"/>
              <w:right w:val="nil"/>
            </w:tcBorders>
            <w:shd w:val="clear" w:color="auto" w:fill="auto"/>
            <w:noWrap/>
            <w:tcMar>
              <w:left w:w="105"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7" w:hRule="atLeast"/>
        </w:trPr>
        <w:tc>
          <w:tcPr>
            <w:tcW w:w="7571" w:type="dxa"/>
            <w:gridSpan w:val="2"/>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color w:val="000000"/>
                <w:sz w:val="24"/>
                <w:szCs w:val="24"/>
              </w:rPr>
              <w:t>统       计 指 标</w:t>
            </w:r>
          </w:p>
        </w:tc>
        <w:tc>
          <w:tcPr>
            <w:tcW w:w="703" w:type="dxa"/>
            <w:gridSpan w:val="2"/>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color w:val="000000"/>
                <w:sz w:val="24"/>
                <w:szCs w:val="24"/>
              </w:rPr>
              <w:t>单位</w:t>
            </w:r>
          </w:p>
        </w:tc>
        <w:tc>
          <w:tcPr>
            <w:tcW w:w="1185"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color w:val="000000"/>
                <w:sz w:val="24"/>
                <w:szCs w:val="24"/>
              </w:rPr>
              <w:t>统计数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7" w:hRule="atLeast"/>
        </w:trPr>
        <w:tc>
          <w:tcPr>
            <w:tcW w:w="7571" w:type="dxa"/>
            <w:gridSpan w:val="2"/>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黑体" w:hAnsi="宋体" w:eastAsia="黑体" w:cs="黑体"/>
                <w:color w:val="000000"/>
                <w:sz w:val="24"/>
                <w:szCs w:val="24"/>
              </w:rPr>
              <w:t>一、主动公开情况</w:t>
            </w:r>
          </w:p>
        </w:tc>
        <w:tc>
          <w:tcPr>
            <w:tcW w:w="703" w:type="dxa"/>
            <w:gridSpan w:val="2"/>
            <w:tcBorders>
              <w:top w:val="nil"/>
              <w:left w:val="nil"/>
              <w:bottom w:val="single" w:color="auto" w:sz="6" w:space="0"/>
              <w:right w:val="single" w:color="auto" w:sz="6" w:space="0"/>
            </w:tcBorders>
            <w:shd w:val="clear" w:color="auto" w:fill="auto"/>
            <w:noWrap/>
            <w:tcMar>
              <w:left w:w="105" w:type="dxa"/>
              <w:right w:w="105" w:type="dxa"/>
            </w:tcMar>
            <w:vAlign w:val="center"/>
          </w:tcPr>
          <w:p>
            <w:pPr>
              <w:keepNext w:val="0"/>
              <w:keepLines w:val="0"/>
              <w:widowControl/>
              <w:suppressLineNumbers w:val="0"/>
              <w:jc w:val="left"/>
            </w:pPr>
          </w:p>
        </w:tc>
        <w:tc>
          <w:tcPr>
            <w:tcW w:w="1185" w:type="dxa"/>
            <w:tcBorders>
              <w:top w:val="nil"/>
              <w:left w:val="nil"/>
              <w:bottom w:val="single" w:color="auto" w:sz="6" w:space="0"/>
              <w:right w:val="single" w:color="auto" w:sz="6" w:space="0"/>
            </w:tcBorders>
            <w:shd w:val="clear" w:color="auto" w:fill="auto"/>
            <w:noWrap/>
            <w:tcMar>
              <w:left w:w="105"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5" w:hRule="atLeast"/>
        </w:trPr>
        <w:tc>
          <w:tcPr>
            <w:tcW w:w="7571" w:type="dxa"/>
            <w:gridSpan w:val="2"/>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（一）主动公开政府信息数</w:t>
            </w:r>
            <w:r>
              <w:rPr>
                <w:rFonts w:hint="eastAsia" w:ascii="仿宋_GB2312" w:eastAsia="仿宋_GB2312" w:cs="仿宋_GB2312"/>
                <w:sz w:val="24"/>
                <w:szCs w:val="24"/>
              </w:rPr>
              <w:br w:type="textWrapping"/>
            </w:r>
            <w:r>
              <w:rPr>
                <w:rFonts w:hint="eastAsia" w:ascii="仿宋_GB2312" w:eastAsia="仿宋_GB2312" w:cs="仿宋_GB2312"/>
                <w:sz w:val="24"/>
                <w:szCs w:val="24"/>
              </w:rPr>
              <w:t>                   （不同渠道和方式公开相同信息计1条）</w:t>
            </w:r>
          </w:p>
        </w:tc>
        <w:tc>
          <w:tcPr>
            <w:tcW w:w="703" w:type="dxa"/>
            <w:gridSpan w:val="2"/>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条</w:t>
            </w:r>
          </w:p>
        </w:tc>
        <w:tc>
          <w:tcPr>
            <w:tcW w:w="1185"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420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7" w:hRule="atLeast"/>
        </w:trPr>
        <w:tc>
          <w:tcPr>
            <w:tcW w:w="7571" w:type="dxa"/>
            <w:gridSpan w:val="2"/>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其中：主动公开规范性文件数</w:t>
            </w:r>
          </w:p>
        </w:tc>
        <w:tc>
          <w:tcPr>
            <w:tcW w:w="703" w:type="dxa"/>
            <w:gridSpan w:val="2"/>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条</w:t>
            </w:r>
          </w:p>
        </w:tc>
        <w:tc>
          <w:tcPr>
            <w:tcW w:w="1185"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7" w:hRule="atLeast"/>
        </w:trPr>
        <w:tc>
          <w:tcPr>
            <w:tcW w:w="7571" w:type="dxa"/>
            <w:gridSpan w:val="2"/>
            <w:tcBorders>
              <w:top w:val="nil"/>
              <w:left w:val="single" w:color="auto" w:sz="6" w:space="0"/>
              <w:bottom w:val="nil"/>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制发规范性文件总数</w:t>
            </w:r>
          </w:p>
        </w:tc>
        <w:tc>
          <w:tcPr>
            <w:tcW w:w="703" w:type="dxa"/>
            <w:gridSpan w:val="2"/>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件</w:t>
            </w:r>
          </w:p>
        </w:tc>
        <w:tc>
          <w:tcPr>
            <w:tcW w:w="1185"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5" w:hRule="atLeast"/>
        </w:trPr>
        <w:tc>
          <w:tcPr>
            <w:tcW w:w="7571"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（二）重点领域公开政府信息数</w:t>
            </w:r>
            <w:r>
              <w:rPr>
                <w:rFonts w:hint="eastAsia" w:ascii="仿宋_GB2312" w:eastAsia="仿宋_GB2312" w:cs="仿宋_GB2312"/>
                <w:sz w:val="24"/>
                <w:szCs w:val="24"/>
              </w:rPr>
              <w:br w:type="textWrapping"/>
            </w:r>
            <w:r>
              <w:rPr>
                <w:rFonts w:hint="eastAsia" w:ascii="仿宋_GB2312" w:eastAsia="仿宋_GB2312" w:cs="仿宋_GB2312"/>
                <w:sz w:val="24"/>
                <w:szCs w:val="24"/>
              </w:rPr>
              <w:t>                   （不同渠道和方式公开相同信息计1条）</w:t>
            </w:r>
          </w:p>
        </w:tc>
        <w:tc>
          <w:tcPr>
            <w:tcW w:w="703" w:type="dxa"/>
            <w:gridSpan w:val="2"/>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条</w:t>
            </w:r>
          </w:p>
        </w:tc>
        <w:tc>
          <w:tcPr>
            <w:tcW w:w="1185"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420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69" w:hRule="atLeast"/>
        </w:trPr>
        <w:tc>
          <w:tcPr>
            <w:tcW w:w="7571" w:type="dxa"/>
            <w:gridSpan w:val="2"/>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pPr>
            <w:r>
              <w:rPr>
                <w:rFonts w:hint="eastAsia" w:ascii="仿宋_GB2312" w:eastAsia="仿宋_GB2312" w:cs="仿宋_GB2312"/>
                <w:sz w:val="24"/>
                <w:szCs w:val="24"/>
              </w:rPr>
              <w:t>        其中：主动公开财政预算决算、“三公经费”和行政经费信息数</w:t>
            </w:r>
          </w:p>
        </w:tc>
        <w:tc>
          <w:tcPr>
            <w:tcW w:w="703" w:type="dxa"/>
            <w:gridSpan w:val="2"/>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条</w:t>
            </w:r>
          </w:p>
        </w:tc>
        <w:tc>
          <w:tcPr>
            <w:tcW w:w="1185"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24"/>
                <w:szCs w:val="24"/>
              </w:rPr>
              <w:t>　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18" w:hRule="atLeast"/>
        </w:trPr>
        <w:tc>
          <w:tcPr>
            <w:tcW w:w="7571" w:type="dxa"/>
            <w:gridSpan w:val="2"/>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jc w:val="left"/>
            </w:pPr>
            <w:r>
              <w:rPr>
                <w:rFonts w:hint="eastAsia" w:ascii="仿宋_GB2312" w:eastAsia="仿宋_GB2312" w:cs="仿宋_GB2312"/>
                <w:sz w:val="24"/>
                <w:szCs w:val="24"/>
              </w:rPr>
              <w:t>              主动公开保障性安居工程建设计划、项目开工和竣工情况，保障性住房的分配和退出等信息数</w:t>
            </w:r>
          </w:p>
        </w:tc>
        <w:tc>
          <w:tcPr>
            <w:tcW w:w="703" w:type="dxa"/>
            <w:gridSpan w:val="2"/>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条</w:t>
            </w:r>
          </w:p>
        </w:tc>
        <w:tc>
          <w:tcPr>
            <w:tcW w:w="1185"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96" w:hRule="atLeast"/>
        </w:trPr>
        <w:tc>
          <w:tcPr>
            <w:tcW w:w="7571" w:type="dxa"/>
            <w:gridSpan w:val="2"/>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jc w:val="left"/>
            </w:pPr>
            <w:r>
              <w:rPr>
                <w:rFonts w:hint="eastAsia" w:ascii="仿宋_GB2312" w:eastAsia="仿宋_GB2312" w:cs="仿宋_GB2312"/>
                <w:sz w:val="24"/>
                <w:szCs w:val="24"/>
              </w:rPr>
              <w:t>              主动公开食品安全标准，食品生产经营许可、专项检查整治等信息数</w:t>
            </w:r>
          </w:p>
        </w:tc>
        <w:tc>
          <w:tcPr>
            <w:tcW w:w="703"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条</w:t>
            </w:r>
          </w:p>
        </w:tc>
        <w:tc>
          <w:tcPr>
            <w:tcW w:w="118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96" w:hRule="atLeast"/>
        </w:trPr>
        <w:tc>
          <w:tcPr>
            <w:tcW w:w="7571" w:type="dxa"/>
            <w:gridSpan w:val="2"/>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jc w:val="left"/>
            </w:pPr>
            <w:r>
              <w:rPr>
                <w:rFonts w:hint="eastAsia" w:ascii="仿宋_GB2312" w:eastAsia="仿宋_GB2312" w:cs="仿宋_GB2312"/>
                <w:sz w:val="24"/>
                <w:szCs w:val="24"/>
              </w:rPr>
              <w:t>              主动公开环境核查审批、环境状况公报和重特大突发环境事件等信息数</w:t>
            </w:r>
          </w:p>
        </w:tc>
        <w:tc>
          <w:tcPr>
            <w:tcW w:w="703"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条</w:t>
            </w:r>
          </w:p>
        </w:tc>
        <w:tc>
          <w:tcPr>
            <w:tcW w:w="118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65" w:hRule="atLeast"/>
        </w:trPr>
        <w:tc>
          <w:tcPr>
            <w:tcW w:w="7571" w:type="dxa"/>
            <w:gridSpan w:val="2"/>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jc w:val="left"/>
            </w:pPr>
            <w:r>
              <w:rPr>
                <w:rFonts w:hint="eastAsia" w:ascii="仿宋_GB2312" w:eastAsia="仿宋_GB2312" w:cs="仿宋_GB2312"/>
                <w:sz w:val="24"/>
                <w:szCs w:val="24"/>
              </w:rPr>
              <w:t>              主动公开招投标违法违规行为及处理情况、国有资金占控股或者主导地位依法应当招标的项目等信息数</w:t>
            </w:r>
          </w:p>
        </w:tc>
        <w:tc>
          <w:tcPr>
            <w:tcW w:w="703"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条</w:t>
            </w:r>
          </w:p>
        </w:tc>
        <w:tc>
          <w:tcPr>
            <w:tcW w:w="118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96" w:hRule="atLeast"/>
        </w:trPr>
        <w:tc>
          <w:tcPr>
            <w:tcW w:w="7571" w:type="dxa"/>
            <w:gridSpan w:val="2"/>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jc w:val="left"/>
            </w:pPr>
            <w:r>
              <w:rPr>
                <w:rFonts w:hint="eastAsia" w:ascii="仿宋_GB2312" w:eastAsia="仿宋_GB2312" w:cs="仿宋_GB2312"/>
                <w:sz w:val="24"/>
                <w:szCs w:val="24"/>
              </w:rPr>
              <w:t>              主动公开生产安全事故的政府举措、处置进展、风险预警、防范措施等信息数</w:t>
            </w:r>
          </w:p>
        </w:tc>
        <w:tc>
          <w:tcPr>
            <w:tcW w:w="703"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条</w:t>
            </w:r>
          </w:p>
        </w:tc>
        <w:tc>
          <w:tcPr>
            <w:tcW w:w="118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416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67" w:hRule="atLeast"/>
        </w:trPr>
        <w:tc>
          <w:tcPr>
            <w:tcW w:w="7571" w:type="dxa"/>
            <w:gridSpan w:val="2"/>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jc w:val="left"/>
            </w:pPr>
            <w:r>
              <w:rPr>
                <w:rFonts w:hint="eastAsia" w:ascii="仿宋_GB2312" w:eastAsia="仿宋_GB2312" w:cs="仿宋_GB2312"/>
                <w:sz w:val="24"/>
                <w:szCs w:val="24"/>
              </w:rPr>
              <w:t>              主动公开农用地转为建设用地批准、征收集体土地批准、征地公告、征地补偿安置公示、集体土地征收结案等信息数</w:t>
            </w:r>
          </w:p>
        </w:tc>
        <w:tc>
          <w:tcPr>
            <w:tcW w:w="703"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条</w:t>
            </w:r>
          </w:p>
        </w:tc>
        <w:tc>
          <w:tcPr>
            <w:tcW w:w="118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00" w:hRule="atLeast"/>
        </w:trPr>
        <w:tc>
          <w:tcPr>
            <w:tcW w:w="7571" w:type="dxa"/>
            <w:gridSpan w:val="2"/>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jc w:val="left"/>
            </w:pPr>
            <w:r>
              <w:rPr>
                <w:rFonts w:hint="eastAsia" w:ascii="仿宋_GB2312" w:eastAsia="仿宋_GB2312" w:cs="仿宋_GB2312"/>
                <w:sz w:val="24"/>
                <w:szCs w:val="24"/>
              </w:rPr>
              <w:t>              主动公开政府指导价、政府定价和收费标准调整的项目、价格、依据、执行时间和范围等信息数</w:t>
            </w:r>
          </w:p>
        </w:tc>
        <w:tc>
          <w:tcPr>
            <w:tcW w:w="703"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条</w:t>
            </w:r>
          </w:p>
        </w:tc>
        <w:tc>
          <w:tcPr>
            <w:tcW w:w="118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8" w:hRule="atLeast"/>
        </w:trPr>
        <w:tc>
          <w:tcPr>
            <w:tcW w:w="7571" w:type="dxa"/>
            <w:gridSpan w:val="2"/>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jc w:val="left"/>
            </w:pPr>
            <w:r>
              <w:rPr>
                <w:rFonts w:hint="eastAsia" w:ascii="仿宋_GB2312" w:eastAsia="仿宋_GB2312" w:cs="仿宋_GB2312"/>
                <w:sz w:val="24"/>
                <w:szCs w:val="24"/>
              </w:rPr>
              <w:t>              主动公开本市企业信用信息系统中的警示信息和良好信息等信息数</w:t>
            </w:r>
          </w:p>
        </w:tc>
        <w:tc>
          <w:tcPr>
            <w:tcW w:w="703" w:type="dxa"/>
            <w:gridSpan w:val="2"/>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条</w:t>
            </w:r>
          </w:p>
        </w:tc>
        <w:tc>
          <w:tcPr>
            <w:tcW w:w="1185"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53" w:hRule="atLeast"/>
        </w:trPr>
        <w:tc>
          <w:tcPr>
            <w:tcW w:w="7571" w:type="dxa"/>
            <w:gridSpan w:val="2"/>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主动公开政府部门预算执行审计结果等信息数</w:t>
            </w:r>
          </w:p>
        </w:tc>
        <w:tc>
          <w:tcPr>
            <w:tcW w:w="703"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条</w:t>
            </w:r>
          </w:p>
        </w:tc>
        <w:tc>
          <w:tcPr>
            <w:tcW w:w="118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51" w:hRule="atLeast"/>
        </w:trPr>
        <w:tc>
          <w:tcPr>
            <w:tcW w:w="7571" w:type="dxa"/>
            <w:gridSpan w:val="2"/>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80" w:right="0"/>
              <w:jc w:val="left"/>
            </w:pPr>
            <w:r>
              <w:rPr>
                <w:rFonts w:hint="eastAsia" w:ascii="仿宋_GB2312" w:eastAsia="仿宋_GB2312" w:cs="仿宋_GB2312"/>
                <w:sz w:val="24"/>
                <w:szCs w:val="24"/>
              </w:rPr>
              <w:t>              主动公开行政机关对与人民群众利益密切相关的公共企事业单位进行监督管理的信息数</w:t>
            </w:r>
          </w:p>
        </w:tc>
        <w:tc>
          <w:tcPr>
            <w:tcW w:w="703"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条</w:t>
            </w:r>
          </w:p>
        </w:tc>
        <w:tc>
          <w:tcPr>
            <w:tcW w:w="118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7" w:hRule="atLeast"/>
        </w:trPr>
        <w:tc>
          <w:tcPr>
            <w:tcW w:w="7571" w:type="dxa"/>
            <w:gridSpan w:val="2"/>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主动公开市人民政府决定主动公开的其他信息数</w:t>
            </w:r>
          </w:p>
        </w:tc>
        <w:tc>
          <w:tcPr>
            <w:tcW w:w="703"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条</w:t>
            </w:r>
          </w:p>
        </w:tc>
        <w:tc>
          <w:tcPr>
            <w:tcW w:w="118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7" w:hRule="atLeast"/>
        </w:trPr>
        <w:tc>
          <w:tcPr>
            <w:tcW w:w="7571" w:type="dxa"/>
            <w:gridSpan w:val="2"/>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（三）通过不同渠道和方式公开政府信息的情况</w:t>
            </w:r>
          </w:p>
        </w:tc>
        <w:tc>
          <w:tcPr>
            <w:tcW w:w="703" w:type="dxa"/>
            <w:gridSpan w:val="2"/>
            <w:tcBorders>
              <w:top w:val="nil"/>
              <w:left w:val="nil"/>
              <w:bottom w:val="single" w:color="auto" w:sz="6" w:space="0"/>
              <w:right w:val="single" w:color="auto" w:sz="6" w:space="0"/>
            </w:tcBorders>
            <w:shd w:val="clear" w:color="auto" w:fill="auto"/>
            <w:noWrap/>
            <w:tcMar>
              <w:left w:w="105" w:type="dxa"/>
              <w:right w:w="105" w:type="dxa"/>
            </w:tcMar>
            <w:vAlign w:val="center"/>
          </w:tcPr>
          <w:p>
            <w:pPr>
              <w:keepNext w:val="0"/>
              <w:keepLines w:val="0"/>
              <w:widowControl/>
              <w:suppressLineNumbers w:val="0"/>
              <w:jc w:val="left"/>
            </w:pPr>
          </w:p>
        </w:tc>
        <w:tc>
          <w:tcPr>
            <w:tcW w:w="1185" w:type="dxa"/>
            <w:tcBorders>
              <w:top w:val="nil"/>
              <w:left w:val="nil"/>
              <w:bottom w:val="single" w:color="auto" w:sz="6" w:space="0"/>
              <w:right w:val="single" w:color="auto" w:sz="6" w:space="0"/>
            </w:tcBorders>
            <w:shd w:val="clear" w:color="auto" w:fill="auto"/>
            <w:noWrap/>
            <w:tcMar>
              <w:left w:w="105"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7" w:hRule="atLeast"/>
        </w:trPr>
        <w:tc>
          <w:tcPr>
            <w:tcW w:w="7571" w:type="dxa"/>
            <w:gridSpan w:val="2"/>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1.政府公报公开政府信息数</w:t>
            </w:r>
          </w:p>
        </w:tc>
        <w:tc>
          <w:tcPr>
            <w:tcW w:w="703" w:type="dxa"/>
            <w:gridSpan w:val="2"/>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条</w:t>
            </w:r>
          </w:p>
        </w:tc>
        <w:tc>
          <w:tcPr>
            <w:tcW w:w="1185"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420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7" w:hRule="atLeast"/>
        </w:trPr>
        <w:tc>
          <w:tcPr>
            <w:tcW w:w="7571" w:type="dxa"/>
            <w:gridSpan w:val="2"/>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2.政府网站公开政府信息数</w:t>
            </w:r>
          </w:p>
        </w:tc>
        <w:tc>
          <w:tcPr>
            <w:tcW w:w="703" w:type="dxa"/>
            <w:gridSpan w:val="2"/>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条</w:t>
            </w:r>
          </w:p>
        </w:tc>
        <w:tc>
          <w:tcPr>
            <w:tcW w:w="1185"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7" w:hRule="atLeast"/>
        </w:trPr>
        <w:tc>
          <w:tcPr>
            <w:tcW w:w="7571" w:type="dxa"/>
            <w:gridSpan w:val="2"/>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3.政务微博公开政府信息数</w:t>
            </w:r>
          </w:p>
        </w:tc>
        <w:tc>
          <w:tcPr>
            <w:tcW w:w="703" w:type="dxa"/>
            <w:gridSpan w:val="2"/>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条</w:t>
            </w:r>
          </w:p>
        </w:tc>
        <w:tc>
          <w:tcPr>
            <w:tcW w:w="1185"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7" w:hRule="atLeast"/>
        </w:trPr>
        <w:tc>
          <w:tcPr>
            <w:tcW w:w="7571" w:type="dxa"/>
            <w:gridSpan w:val="2"/>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4.政务微信公开政府信息数</w:t>
            </w:r>
          </w:p>
        </w:tc>
        <w:tc>
          <w:tcPr>
            <w:tcW w:w="703" w:type="dxa"/>
            <w:gridSpan w:val="2"/>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条</w:t>
            </w:r>
          </w:p>
        </w:tc>
        <w:tc>
          <w:tcPr>
            <w:tcW w:w="1185"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7" w:hRule="atLeast"/>
        </w:trPr>
        <w:tc>
          <w:tcPr>
            <w:tcW w:w="7571" w:type="dxa"/>
            <w:gridSpan w:val="2"/>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5.其他方式公开政府信息数</w:t>
            </w:r>
          </w:p>
        </w:tc>
        <w:tc>
          <w:tcPr>
            <w:tcW w:w="703" w:type="dxa"/>
            <w:gridSpan w:val="2"/>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条</w:t>
            </w:r>
          </w:p>
        </w:tc>
        <w:tc>
          <w:tcPr>
            <w:tcW w:w="1185"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7" w:hRule="atLeast"/>
        </w:trPr>
        <w:tc>
          <w:tcPr>
            <w:tcW w:w="7571" w:type="dxa"/>
            <w:gridSpan w:val="2"/>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黑体" w:hAnsi="宋体" w:eastAsia="黑体" w:cs="黑体"/>
                <w:color w:val="000000"/>
                <w:sz w:val="24"/>
                <w:szCs w:val="24"/>
              </w:rPr>
              <w:t>二、回应解读情况</w:t>
            </w:r>
          </w:p>
        </w:tc>
        <w:tc>
          <w:tcPr>
            <w:tcW w:w="703" w:type="dxa"/>
            <w:gridSpan w:val="2"/>
            <w:tcBorders>
              <w:top w:val="nil"/>
              <w:left w:val="nil"/>
              <w:bottom w:val="single" w:color="auto" w:sz="6" w:space="0"/>
              <w:right w:val="single" w:color="auto" w:sz="6" w:space="0"/>
            </w:tcBorders>
            <w:shd w:val="clear" w:color="auto" w:fill="auto"/>
            <w:noWrap/>
            <w:tcMar>
              <w:left w:w="105" w:type="dxa"/>
              <w:right w:w="105" w:type="dxa"/>
            </w:tcMar>
            <w:vAlign w:val="center"/>
          </w:tcPr>
          <w:p>
            <w:pPr>
              <w:keepNext w:val="0"/>
              <w:keepLines w:val="0"/>
              <w:widowControl/>
              <w:suppressLineNumbers w:val="0"/>
              <w:jc w:val="left"/>
            </w:pPr>
          </w:p>
        </w:tc>
        <w:tc>
          <w:tcPr>
            <w:tcW w:w="1185" w:type="dxa"/>
            <w:tcBorders>
              <w:top w:val="nil"/>
              <w:left w:val="nil"/>
              <w:bottom w:val="single" w:color="auto" w:sz="6" w:space="0"/>
              <w:right w:val="single" w:color="auto" w:sz="6" w:space="0"/>
            </w:tcBorders>
            <w:shd w:val="clear" w:color="auto" w:fill="auto"/>
            <w:noWrap/>
            <w:tcMar>
              <w:left w:w="105"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5" w:hRule="atLeast"/>
        </w:trPr>
        <w:tc>
          <w:tcPr>
            <w:tcW w:w="7571" w:type="dxa"/>
            <w:gridSpan w:val="2"/>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（一）回应公众关注热点或重大舆情数</w:t>
            </w:r>
            <w:r>
              <w:rPr>
                <w:rFonts w:hint="eastAsia" w:ascii="仿宋_GB2312" w:eastAsia="仿宋_GB2312" w:cs="仿宋_GB2312"/>
                <w:sz w:val="24"/>
                <w:szCs w:val="24"/>
              </w:rPr>
              <w:br w:type="textWrapping"/>
            </w:r>
            <w:r>
              <w:rPr>
                <w:rFonts w:hint="eastAsia" w:ascii="仿宋_GB2312" w:eastAsia="仿宋_GB2312" w:cs="仿宋_GB2312"/>
                <w:sz w:val="24"/>
                <w:szCs w:val="24"/>
              </w:rPr>
              <w:t>                     （不同方式回应同一热点或舆情计1次）</w:t>
            </w:r>
          </w:p>
        </w:tc>
        <w:tc>
          <w:tcPr>
            <w:tcW w:w="703" w:type="dxa"/>
            <w:gridSpan w:val="2"/>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次</w:t>
            </w:r>
          </w:p>
        </w:tc>
        <w:tc>
          <w:tcPr>
            <w:tcW w:w="1185"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7" w:hRule="atLeast"/>
        </w:trPr>
        <w:tc>
          <w:tcPr>
            <w:tcW w:w="7571" w:type="dxa"/>
            <w:gridSpan w:val="2"/>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（二）通过不同渠道和方式回应解读的情况</w:t>
            </w:r>
          </w:p>
        </w:tc>
        <w:tc>
          <w:tcPr>
            <w:tcW w:w="703" w:type="dxa"/>
            <w:gridSpan w:val="2"/>
            <w:tcBorders>
              <w:top w:val="nil"/>
              <w:left w:val="nil"/>
              <w:bottom w:val="single" w:color="auto" w:sz="6" w:space="0"/>
              <w:right w:val="single" w:color="auto" w:sz="6" w:space="0"/>
            </w:tcBorders>
            <w:shd w:val="clear" w:color="auto" w:fill="auto"/>
            <w:noWrap/>
            <w:tcMar>
              <w:left w:w="105" w:type="dxa"/>
              <w:right w:w="105" w:type="dxa"/>
            </w:tcMar>
            <w:vAlign w:val="center"/>
          </w:tcPr>
          <w:p>
            <w:pPr>
              <w:keepNext w:val="0"/>
              <w:keepLines w:val="0"/>
              <w:widowControl/>
              <w:suppressLineNumbers w:val="0"/>
              <w:jc w:val="left"/>
            </w:pPr>
          </w:p>
        </w:tc>
        <w:tc>
          <w:tcPr>
            <w:tcW w:w="1185" w:type="dxa"/>
            <w:tcBorders>
              <w:top w:val="nil"/>
              <w:left w:val="nil"/>
              <w:bottom w:val="single" w:color="auto" w:sz="6" w:space="0"/>
              <w:right w:val="single" w:color="auto" w:sz="6" w:space="0"/>
            </w:tcBorders>
            <w:shd w:val="clear" w:color="auto" w:fill="auto"/>
            <w:noWrap/>
            <w:tcMar>
              <w:left w:w="105"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7" w:hRule="atLeast"/>
        </w:trPr>
        <w:tc>
          <w:tcPr>
            <w:tcW w:w="7571" w:type="dxa"/>
            <w:gridSpan w:val="2"/>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1.参加或举办新闻发布会总次数</w:t>
            </w:r>
          </w:p>
        </w:tc>
        <w:tc>
          <w:tcPr>
            <w:tcW w:w="703" w:type="dxa"/>
            <w:gridSpan w:val="2"/>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次</w:t>
            </w:r>
          </w:p>
        </w:tc>
        <w:tc>
          <w:tcPr>
            <w:tcW w:w="1185"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7" w:hRule="atLeast"/>
        </w:trPr>
        <w:tc>
          <w:tcPr>
            <w:tcW w:w="7571" w:type="dxa"/>
            <w:gridSpan w:val="2"/>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其中：主要负责同志参加新闻发布会次数</w:t>
            </w:r>
          </w:p>
        </w:tc>
        <w:tc>
          <w:tcPr>
            <w:tcW w:w="703" w:type="dxa"/>
            <w:gridSpan w:val="2"/>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次</w:t>
            </w:r>
          </w:p>
        </w:tc>
        <w:tc>
          <w:tcPr>
            <w:tcW w:w="1185"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7" w:hRule="atLeast"/>
        </w:trPr>
        <w:tc>
          <w:tcPr>
            <w:tcW w:w="7571" w:type="dxa"/>
            <w:gridSpan w:val="2"/>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2.政府网站在线访谈次数</w:t>
            </w:r>
          </w:p>
        </w:tc>
        <w:tc>
          <w:tcPr>
            <w:tcW w:w="703" w:type="dxa"/>
            <w:gridSpan w:val="2"/>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次</w:t>
            </w:r>
          </w:p>
        </w:tc>
        <w:tc>
          <w:tcPr>
            <w:tcW w:w="1185"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7" w:hRule="atLeast"/>
        </w:trPr>
        <w:tc>
          <w:tcPr>
            <w:tcW w:w="7571" w:type="dxa"/>
            <w:gridSpan w:val="2"/>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其中：主要负责同志参加政府网站在线访谈次数</w:t>
            </w:r>
          </w:p>
        </w:tc>
        <w:tc>
          <w:tcPr>
            <w:tcW w:w="703" w:type="dxa"/>
            <w:gridSpan w:val="2"/>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次</w:t>
            </w:r>
          </w:p>
        </w:tc>
        <w:tc>
          <w:tcPr>
            <w:tcW w:w="1185"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7" w:hRule="atLeast"/>
        </w:trPr>
        <w:tc>
          <w:tcPr>
            <w:tcW w:w="7571" w:type="dxa"/>
            <w:gridSpan w:val="2"/>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3.政策解读稿件发布数</w:t>
            </w:r>
          </w:p>
        </w:tc>
        <w:tc>
          <w:tcPr>
            <w:tcW w:w="703" w:type="dxa"/>
            <w:gridSpan w:val="2"/>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篇</w:t>
            </w:r>
          </w:p>
        </w:tc>
        <w:tc>
          <w:tcPr>
            <w:tcW w:w="1185"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7" w:hRule="atLeast"/>
        </w:trPr>
        <w:tc>
          <w:tcPr>
            <w:tcW w:w="7571" w:type="dxa"/>
            <w:gridSpan w:val="2"/>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4.微博微信回应事件数</w:t>
            </w:r>
          </w:p>
        </w:tc>
        <w:tc>
          <w:tcPr>
            <w:tcW w:w="703" w:type="dxa"/>
            <w:gridSpan w:val="2"/>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次</w:t>
            </w:r>
          </w:p>
        </w:tc>
        <w:tc>
          <w:tcPr>
            <w:tcW w:w="1185"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7" w:hRule="atLeast"/>
        </w:trPr>
        <w:tc>
          <w:tcPr>
            <w:tcW w:w="7571" w:type="dxa"/>
            <w:gridSpan w:val="2"/>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5.其他方式回应事件数</w:t>
            </w:r>
          </w:p>
        </w:tc>
        <w:tc>
          <w:tcPr>
            <w:tcW w:w="703" w:type="dxa"/>
            <w:gridSpan w:val="2"/>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次</w:t>
            </w:r>
          </w:p>
        </w:tc>
        <w:tc>
          <w:tcPr>
            <w:tcW w:w="1185"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7" w:hRule="atLeast"/>
        </w:trPr>
        <w:tc>
          <w:tcPr>
            <w:tcW w:w="7571" w:type="dxa"/>
            <w:gridSpan w:val="2"/>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黑体" w:hAnsi="宋体" w:eastAsia="黑体" w:cs="黑体"/>
                <w:color w:val="000000"/>
                <w:sz w:val="24"/>
                <w:szCs w:val="24"/>
              </w:rPr>
              <w:t>三、依申请公开情况</w:t>
            </w:r>
          </w:p>
        </w:tc>
        <w:tc>
          <w:tcPr>
            <w:tcW w:w="703" w:type="dxa"/>
            <w:gridSpan w:val="2"/>
            <w:tcBorders>
              <w:top w:val="nil"/>
              <w:left w:val="nil"/>
              <w:bottom w:val="single" w:color="auto" w:sz="6" w:space="0"/>
              <w:right w:val="single" w:color="auto" w:sz="6" w:space="0"/>
            </w:tcBorders>
            <w:shd w:val="clear" w:color="auto" w:fill="auto"/>
            <w:noWrap/>
            <w:tcMar>
              <w:left w:w="105" w:type="dxa"/>
              <w:right w:w="105" w:type="dxa"/>
            </w:tcMar>
            <w:vAlign w:val="center"/>
          </w:tcPr>
          <w:p>
            <w:pPr>
              <w:keepNext w:val="0"/>
              <w:keepLines w:val="0"/>
              <w:widowControl/>
              <w:suppressLineNumbers w:val="0"/>
              <w:jc w:val="left"/>
            </w:pPr>
          </w:p>
        </w:tc>
        <w:tc>
          <w:tcPr>
            <w:tcW w:w="1185" w:type="dxa"/>
            <w:tcBorders>
              <w:top w:val="nil"/>
              <w:left w:val="nil"/>
              <w:bottom w:val="single" w:color="auto" w:sz="6" w:space="0"/>
              <w:right w:val="single" w:color="auto" w:sz="6" w:space="0"/>
            </w:tcBorders>
            <w:shd w:val="clear" w:color="auto" w:fill="auto"/>
            <w:noWrap/>
            <w:tcMar>
              <w:left w:w="105"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7" w:hRule="atLeast"/>
        </w:trPr>
        <w:tc>
          <w:tcPr>
            <w:tcW w:w="7571" w:type="dxa"/>
            <w:gridSpan w:val="2"/>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（一）收到申请数</w:t>
            </w:r>
          </w:p>
        </w:tc>
        <w:tc>
          <w:tcPr>
            <w:tcW w:w="703" w:type="dxa"/>
            <w:gridSpan w:val="2"/>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件</w:t>
            </w:r>
          </w:p>
        </w:tc>
        <w:tc>
          <w:tcPr>
            <w:tcW w:w="1185"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7" w:hRule="atLeast"/>
        </w:trPr>
        <w:tc>
          <w:tcPr>
            <w:tcW w:w="7571" w:type="dxa"/>
            <w:gridSpan w:val="2"/>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1.当面申请数</w:t>
            </w:r>
          </w:p>
        </w:tc>
        <w:tc>
          <w:tcPr>
            <w:tcW w:w="703" w:type="dxa"/>
            <w:gridSpan w:val="2"/>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件</w:t>
            </w:r>
          </w:p>
        </w:tc>
        <w:tc>
          <w:tcPr>
            <w:tcW w:w="1185"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7" w:hRule="atLeast"/>
        </w:trPr>
        <w:tc>
          <w:tcPr>
            <w:tcW w:w="7571" w:type="dxa"/>
            <w:gridSpan w:val="2"/>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2.传真申请数</w:t>
            </w:r>
          </w:p>
        </w:tc>
        <w:tc>
          <w:tcPr>
            <w:tcW w:w="703" w:type="dxa"/>
            <w:gridSpan w:val="2"/>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件</w:t>
            </w:r>
          </w:p>
        </w:tc>
        <w:tc>
          <w:tcPr>
            <w:tcW w:w="1185"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7" w:hRule="atLeast"/>
        </w:trPr>
        <w:tc>
          <w:tcPr>
            <w:tcW w:w="7571" w:type="dxa"/>
            <w:gridSpan w:val="2"/>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3.网络申请数</w:t>
            </w:r>
          </w:p>
        </w:tc>
        <w:tc>
          <w:tcPr>
            <w:tcW w:w="703" w:type="dxa"/>
            <w:gridSpan w:val="2"/>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件</w:t>
            </w:r>
          </w:p>
        </w:tc>
        <w:tc>
          <w:tcPr>
            <w:tcW w:w="1185"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7" w:hRule="atLeast"/>
        </w:trPr>
        <w:tc>
          <w:tcPr>
            <w:tcW w:w="7571" w:type="dxa"/>
            <w:gridSpan w:val="2"/>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4.信函申请数</w:t>
            </w:r>
          </w:p>
        </w:tc>
        <w:tc>
          <w:tcPr>
            <w:tcW w:w="703" w:type="dxa"/>
            <w:gridSpan w:val="2"/>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件</w:t>
            </w:r>
          </w:p>
        </w:tc>
        <w:tc>
          <w:tcPr>
            <w:tcW w:w="1185"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7" w:hRule="atLeast"/>
        </w:trPr>
        <w:tc>
          <w:tcPr>
            <w:tcW w:w="7571" w:type="dxa"/>
            <w:gridSpan w:val="2"/>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（二）申请办结数</w:t>
            </w:r>
          </w:p>
        </w:tc>
        <w:tc>
          <w:tcPr>
            <w:tcW w:w="703" w:type="dxa"/>
            <w:gridSpan w:val="2"/>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件</w:t>
            </w:r>
          </w:p>
        </w:tc>
        <w:tc>
          <w:tcPr>
            <w:tcW w:w="1185"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7" w:hRule="atLeast"/>
        </w:trPr>
        <w:tc>
          <w:tcPr>
            <w:tcW w:w="7571" w:type="dxa"/>
            <w:gridSpan w:val="2"/>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1.按时办结数</w:t>
            </w:r>
          </w:p>
        </w:tc>
        <w:tc>
          <w:tcPr>
            <w:tcW w:w="703" w:type="dxa"/>
            <w:gridSpan w:val="2"/>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件</w:t>
            </w:r>
          </w:p>
        </w:tc>
        <w:tc>
          <w:tcPr>
            <w:tcW w:w="1185"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7" w:hRule="atLeast"/>
        </w:trPr>
        <w:tc>
          <w:tcPr>
            <w:tcW w:w="7571" w:type="dxa"/>
            <w:gridSpan w:val="2"/>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2.延期办结数</w:t>
            </w:r>
          </w:p>
        </w:tc>
        <w:tc>
          <w:tcPr>
            <w:tcW w:w="703" w:type="dxa"/>
            <w:gridSpan w:val="2"/>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件</w:t>
            </w:r>
          </w:p>
        </w:tc>
        <w:tc>
          <w:tcPr>
            <w:tcW w:w="1185"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7" w:hRule="atLeast"/>
        </w:trPr>
        <w:tc>
          <w:tcPr>
            <w:tcW w:w="7571" w:type="dxa"/>
            <w:gridSpan w:val="2"/>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（三）申请答复数</w:t>
            </w:r>
          </w:p>
        </w:tc>
        <w:tc>
          <w:tcPr>
            <w:tcW w:w="703" w:type="dxa"/>
            <w:gridSpan w:val="2"/>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件</w:t>
            </w:r>
          </w:p>
        </w:tc>
        <w:tc>
          <w:tcPr>
            <w:tcW w:w="1185"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7" w:hRule="atLeast"/>
        </w:trPr>
        <w:tc>
          <w:tcPr>
            <w:tcW w:w="7571" w:type="dxa"/>
            <w:gridSpan w:val="2"/>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1.属于已主动公开范围数</w:t>
            </w:r>
          </w:p>
        </w:tc>
        <w:tc>
          <w:tcPr>
            <w:tcW w:w="703" w:type="dxa"/>
            <w:gridSpan w:val="2"/>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件</w:t>
            </w:r>
          </w:p>
        </w:tc>
        <w:tc>
          <w:tcPr>
            <w:tcW w:w="1185"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7" w:hRule="atLeast"/>
        </w:trPr>
        <w:tc>
          <w:tcPr>
            <w:tcW w:w="7571" w:type="dxa"/>
            <w:gridSpan w:val="2"/>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2.同意公开答复数</w:t>
            </w:r>
          </w:p>
        </w:tc>
        <w:tc>
          <w:tcPr>
            <w:tcW w:w="703" w:type="dxa"/>
            <w:gridSpan w:val="2"/>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件</w:t>
            </w:r>
          </w:p>
        </w:tc>
        <w:tc>
          <w:tcPr>
            <w:tcW w:w="1185"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7" w:hRule="atLeast"/>
        </w:trPr>
        <w:tc>
          <w:tcPr>
            <w:tcW w:w="7571" w:type="dxa"/>
            <w:gridSpan w:val="2"/>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3.同意部分公开答复数</w:t>
            </w:r>
          </w:p>
        </w:tc>
        <w:tc>
          <w:tcPr>
            <w:tcW w:w="703" w:type="dxa"/>
            <w:gridSpan w:val="2"/>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件</w:t>
            </w:r>
          </w:p>
        </w:tc>
        <w:tc>
          <w:tcPr>
            <w:tcW w:w="1185"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7" w:hRule="atLeast"/>
        </w:trPr>
        <w:tc>
          <w:tcPr>
            <w:tcW w:w="7571" w:type="dxa"/>
            <w:gridSpan w:val="2"/>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4.不同意公开答复数</w:t>
            </w:r>
          </w:p>
        </w:tc>
        <w:tc>
          <w:tcPr>
            <w:tcW w:w="703" w:type="dxa"/>
            <w:gridSpan w:val="2"/>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件</w:t>
            </w:r>
          </w:p>
        </w:tc>
        <w:tc>
          <w:tcPr>
            <w:tcW w:w="1185"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7" w:hRule="atLeast"/>
        </w:trPr>
        <w:tc>
          <w:tcPr>
            <w:tcW w:w="7571" w:type="dxa"/>
            <w:gridSpan w:val="2"/>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其中：涉及国家秘密</w:t>
            </w:r>
          </w:p>
        </w:tc>
        <w:tc>
          <w:tcPr>
            <w:tcW w:w="703" w:type="dxa"/>
            <w:gridSpan w:val="2"/>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件</w:t>
            </w:r>
          </w:p>
        </w:tc>
        <w:tc>
          <w:tcPr>
            <w:tcW w:w="1185"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7" w:hRule="atLeast"/>
        </w:trPr>
        <w:tc>
          <w:tcPr>
            <w:tcW w:w="7571" w:type="dxa"/>
            <w:gridSpan w:val="2"/>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涉及商业秘密</w:t>
            </w:r>
          </w:p>
        </w:tc>
        <w:tc>
          <w:tcPr>
            <w:tcW w:w="703" w:type="dxa"/>
            <w:gridSpan w:val="2"/>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件</w:t>
            </w:r>
          </w:p>
        </w:tc>
        <w:tc>
          <w:tcPr>
            <w:tcW w:w="1185"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7" w:hRule="atLeast"/>
        </w:trPr>
        <w:tc>
          <w:tcPr>
            <w:tcW w:w="7571" w:type="dxa"/>
            <w:gridSpan w:val="2"/>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涉及个人隐私</w:t>
            </w:r>
          </w:p>
        </w:tc>
        <w:tc>
          <w:tcPr>
            <w:tcW w:w="703" w:type="dxa"/>
            <w:gridSpan w:val="2"/>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件</w:t>
            </w:r>
          </w:p>
        </w:tc>
        <w:tc>
          <w:tcPr>
            <w:tcW w:w="1185"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59" w:hRule="atLeast"/>
        </w:trPr>
        <w:tc>
          <w:tcPr>
            <w:tcW w:w="7571" w:type="dxa"/>
            <w:gridSpan w:val="2"/>
            <w:tcBorders>
              <w:top w:val="dashed" w:color="DDDDDD" w:sz="6" w:space="0"/>
              <w:left w:val="dashed" w:color="DDDDDD" w:sz="6" w:space="0"/>
              <w:bottom w:val="dashed" w:color="DDDDDD" w:sz="6" w:space="0"/>
              <w:right w:val="dashed" w:color="DDDDDD" w:sz="6" w:space="0"/>
            </w:tcBorders>
            <w:shd w:val="clear" w:color="auto" w:fill="auto"/>
            <w:noWrap/>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400" w:right="0"/>
              <w:jc w:val="left"/>
            </w:pPr>
            <w:r>
              <w:rPr>
                <w:rFonts w:hint="eastAsia" w:ascii="仿宋_GB2312" w:eastAsia="仿宋_GB2312" w:cs="仿宋_GB2312"/>
                <w:sz w:val="24"/>
                <w:szCs w:val="24"/>
              </w:rPr>
              <w:t>　　　　　　　　　　危及国家安全、公共安全、经济安全和社会稳定</w:t>
            </w:r>
          </w:p>
        </w:tc>
        <w:tc>
          <w:tcPr>
            <w:tcW w:w="703" w:type="dxa"/>
            <w:gridSpan w:val="2"/>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件</w:t>
            </w:r>
          </w:p>
        </w:tc>
        <w:tc>
          <w:tcPr>
            <w:tcW w:w="1185"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7" w:hRule="atLeast"/>
        </w:trPr>
        <w:tc>
          <w:tcPr>
            <w:tcW w:w="7571" w:type="dxa"/>
            <w:gridSpan w:val="2"/>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不是《条例》所指政府信息</w:t>
            </w:r>
          </w:p>
        </w:tc>
        <w:tc>
          <w:tcPr>
            <w:tcW w:w="703" w:type="dxa"/>
            <w:gridSpan w:val="2"/>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件</w:t>
            </w:r>
          </w:p>
        </w:tc>
        <w:tc>
          <w:tcPr>
            <w:tcW w:w="1185"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7" w:hRule="atLeast"/>
        </w:trPr>
        <w:tc>
          <w:tcPr>
            <w:tcW w:w="7571" w:type="dxa"/>
            <w:gridSpan w:val="2"/>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法律法规规定的其他情形</w:t>
            </w:r>
          </w:p>
        </w:tc>
        <w:tc>
          <w:tcPr>
            <w:tcW w:w="703" w:type="dxa"/>
            <w:gridSpan w:val="2"/>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件</w:t>
            </w:r>
          </w:p>
        </w:tc>
        <w:tc>
          <w:tcPr>
            <w:tcW w:w="1185"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7" w:hRule="atLeast"/>
        </w:trPr>
        <w:tc>
          <w:tcPr>
            <w:tcW w:w="7571" w:type="dxa"/>
            <w:gridSpan w:val="2"/>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5.不属于本行政机关公开数</w:t>
            </w:r>
          </w:p>
        </w:tc>
        <w:tc>
          <w:tcPr>
            <w:tcW w:w="703" w:type="dxa"/>
            <w:gridSpan w:val="2"/>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件</w:t>
            </w:r>
          </w:p>
        </w:tc>
        <w:tc>
          <w:tcPr>
            <w:tcW w:w="1185"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7" w:hRule="atLeast"/>
        </w:trPr>
        <w:tc>
          <w:tcPr>
            <w:tcW w:w="7571" w:type="dxa"/>
            <w:gridSpan w:val="2"/>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6.申请信息不存在数</w:t>
            </w:r>
          </w:p>
        </w:tc>
        <w:tc>
          <w:tcPr>
            <w:tcW w:w="703" w:type="dxa"/>
            <w:gridSpan w:val="2"/>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件</w:t>
            </w:r>
          </w:p>
        </w:tc>
        <w:tc>
          <w:tcPr>
            <w:tcW w:w="1185"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7" w:hRule="atLeast"/>
        </w:trPr>
        <w:tc>
          <w:tcPr>
            <w:tcW w:w="7571" w:type="dxa"/>
            <w:gridSpan w:val="2"/>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7.告知作出更改补充数</w:t>
            </w:r>
          </w:p>
        </w:tc>
        <w:tc>
          <w:tcPr>
            <w:tcW w:w="703" w:type="dxa"/>
            <w:gridSpan w:val="2"/>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件</w:t>
            </w:r>
          </w:p>
        </w:tc>
        <w:tc>
          <w:tcPr>
            <w:tcW w:w="1185"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7" w:hRule="atLeast"/>
        </w:trPr>
        <w:tc>
          <w:tcPr>
            <w:tcW w:w="7571" w:type="dxa"/>
            <w:gridSpan w:val="2"/>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8.告知通过其他途径办理数</w:t>
            </w:r>
          </w:p>
        </w:tc>
        <w:tc>
          <w:tcPr>
            <w:tcW w:w="703" w:type="dxa"/>
            <w:gridSpan w:val="2"/>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件</w:t>
            </w:r>
          </w:p>
        </w:tc>
        <w:tc>
          <w:tcPr>
            <w:tcW w:w="1185"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7" w:hRule="atLeast"/>
        </w:trPr>
        <w:tc>
          <w:tcPr>
            <w:tcW w:w="7571" w:type="dxa"/>
            <w:gridSpan w:val="2"/>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黑体" w:hAnsi="宋体" w:eastAsia="黑体" w:cs="黑体"/>
                <w:color w:val="000000"/>
                <w:sz w:val="24"/>
                <w:szCs w:val="24"/>
              </w:rPr>
              <w:t>四、行政复议数量</w:t>
            </w:r>
          </w:p>
        </w:tc>
        <w:tc>
          <w:tcPr>
            <w:tcW w:w="703" w:type="dxa"/>
            <w:gridSpan w:val="2"/>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4"/>
                <w:szCs w:val="24"/>
              </w:rPr>
              <w:t>件</w:t>
            </w:r>
          </w:p>
        </w:tc>
        <w:tc>
          <w:tcPr>
            <w:tcW w:w="1185"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z w:val="24"/>
                <w:szCs w:val="24"/>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7" w:hRule="atLeast"/>
        </w:trPr>
        <w:tc>
          <w:tcPr>
            <w:tcW w:w="7571" w:type="dxa"/>
            <w:gridSpan w:val="2"/>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（一）维持具体行政行为数</w:t>
            </w:r>
          </w:p>
        </w:tc>
        <w:tc>
          <w:tcPr>
            <w:tcW w:w="703" w:type="dxa"/>
            <w:gridSpan w:val="2"/>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件</w:t>
            </w:r>
          </w:p>
        </w:tc>
        <w:tc>
          <w:tcPr>
            <w:tcW w:w="1185"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7" w:hRule="atLeast"/>
        </w:trPr>
        <w:tc>
          <w:tcPr>
            <w:tcW w:w="7571" w:type="dxa"/>
            <w:gridSpan w:val="2"/>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（二）被依法纠错数</w:t>
            </w:r>
          </w:p>
        </w:tc>
        <w:tc>
          <w:tcPr>
            <w:tcW w:w="703" w:type="dxa"/>
            <w:gridSpan w:val="2"/>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件</w:t>
            </w:r>
          </w:p>
        </w:tc>
        <w:tc>
          <w:tcPr>
            <w:tcW w:w="1185"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7" w:hRule="atLeast"/>
        </w:trPr>
        <w:tc>
          <w:tcPr>
            <w:tcW w:w="7571" w:type="dxa"/>
            <w:gridSpan w:val="2"/>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（三）其他情形数</w:t>
            </w:r>
          </w:p>
        </w:tc>
        <w:tc>
          <w:tcPr>
            <w:tcW w:w="703" w:type="dxa"/>
            <w:gridSpan w:val="2"/>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件</w:t>
            </w:r>
          </w:p>
        </w:tc>
        <w:tc>
          <w:tcPr>
            <w:tcW w:w="1185"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7" w:hRule="atLeast"/>
        </w:trPr>
        <w:tc>
          <w:tcPr>
            <w:tcW w:w="7571" w:type="dxa"/>
            <w:gridSpan w:val="2"/>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黑体" w:hAnsi="宋体" w:eastAsia="黑体" w:cs="黑体"/>
                <w:color w:val="000000"/>
                <w:sz w:val="24"/>
                <w:szCs w:val="24"/>
              </w:rPr>
              <w:t>五、行政诉讼数量</w:t>
            </w:r>
          </w:p>
        </w:tc>
        <w:tc>
          <w:tcPr>
            <w:tcW w:w="703" w:type="dxa"/>
            <w:gridSpan w:val="2"/>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4"/>
                <w:szCs w:val="24"/>
              </w:rPr>
              <w:t>件</w:t>
            </w:r>
          </w:p>
        </w:tc>
        <w:tc>
          <w:tcPr>
            <w:tcW w:w="1185"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z w:val="24"/>
                <w:szCs w:val="24"/>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7" w:hRule="atLeast"/>
        </w:trPr>
        <w:tc>
          <w:tcPr>
            <w:tcW w:w="7571" w:type="dxa"/>
            <w:gridSpan w:val="2"/>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（一）维持具体行政行为或者驳回原告诉讼请求数</w:t>
            </w:r>
          </w:p>
        </w:tc>
        <w:tc>
          <w:tcPr>
            <w:tcW w:w="703" w:type="dxa"/>
            <w:gridSpan w:val="2"/>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件</w:t>
            </w:r>
          </w:p>
        </w:tc>
        <w:tc>
          <w:tcPr>
            <w:tcW w:w="1185"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7" w:hRule="atLeast"/>
        </w:trPr>
        <w:tc>
          <w:tcPr>
            <w:tcW w:w="7571" w:type="dxa"/>
            <w:gridSpan w:val="2"/>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（二）被依法纠错数</w:t>
            </w:r>
          </w:p>
        </w:tc>
        <w:tc>
          <w:tcPr>
            <w:tcW w:w="703" w:type="dxa"/>
            <w:gridSpan w:val="2"/>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件</w:t>
            </w:r>
          </w:p>
        </w:tc>
        <w:tc>
          <w:tcPr>
            <w:tcW w:w="1185"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7" w:hRule="atLeast"/>
        </w:trPr>
        <w:tc>
          <w:tcPr>
            <w:tcW w:w="7571" w:type="dxa"/>
            <w:gridSpan w:val="2"/>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（三）其他情形数</w:t>
            </w:r>
          </w:p>
        </w:tc>
        <w:tc>
          <w:tcPr>
            <w:tcW w:w="703" w:type="dxa"/>
            <w:gridSpan w:val="2"/>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件</w:t>
            </w:r>
          </w:p>
        </w:tc>
        <w:tc>
          <w:tcPr>
            <w:tcW w:w="1185"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7" w:hRule="atLeast"/>
        </w:trPr>
        <w:tc>
          <w:tcPr>
            <w:tcW w:w="7571" w:type="dxa"/>
            <w:gridSpan w:val="2"/>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黑体" w:hAnsi="宋体" w:eastAsia="黑体" w:cs="黑体"/>
                <w:color w:val="000000"/>
                <w:sz w:val="24"/>
                <w:szCs w:val="24"/>
              </w:rPr>
              <w:t>六、举报投诉数量</w:t>
            </w:r>
          </w:p>
        </w:tc>
        <w:tc>
          <w:tcPr>
            <w:tcW w:w="703" w:type="dxa"/>
            <w:gridSpan w:val="2"/>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4"/>
                <w:szCs w:val="24"/>
              </w:rPr>
              <w:t>件</w:t>
            </w:r>
          </w:p>
        </w:tc>
        <w:tc>
          <w:tcPr>
            <w:tcW w:w="1185"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z w:val="24"/>
                <w:szCs w:val="24"/>
              </w:rPr>
              <w:t>　151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7" w:hRule="atLeast"/>
        </w:trPr>
        <w:tc>
          <w:tcPr>
            <w:tcW w:w="7571" w:type="dxa"/>
            <w:gridSpan w:val="2"/>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黑体" w:hAnsi="宋体" w:eastAsia="黑体" w:cs="黑体"/>
                <w:color w:val="000000"/>
                <w:sz w:val="24"/>
                <w:szCs w:val="24"/>
              </w:rPr>
              <w:t>七、依申请公开信息收取的费用</w:t>
            </w:r>
          </w:p>
        </w:tc>
        <w:tc>
          <w:tcPr>
            <w:tcW w:w="703" w:type="dxa"/>
            <w:gridSpan w:val="2"/>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4"/>
                <w:szCs w:val="24"/>
              </w:rPr>
              <w:t>万元</w:t>
            </w:r>
          </w:p>
        </w:tc>
        <w:tc>
          <w:tcPr>
            <w:tcW w:w="1185"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z w:val="24"/>
                <w:szCs w:val="24"/>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7" w:hRule="atLeast"/>
        </w:trPr>
        <w:tc>
          <w:tcPr>
            <w:tcW w:w="7571" w:type="dxa"/>
            <w:gridSpan w:val="2"/>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黑体" w:hAnsi="宋体" w:eastAsia="黑体" w:cs="黑体"/>
                <w:color w:val="000000"/>
                <w:sz w:val="24"/>
                <w:szCs w:val="24"/>
              </w:rPr>
              <w:t>八、机构建设和保障经费情况</w:t>
            </w:r>
          </w:p>
        </w:tc>
        <w:tc>
          <w:tcPr>
            <w:tcW w:w="703" w:type="dxa"/>
            <w:gridSpan w:val="2"/>
            <w:tcBorders>
              <w:top w:val="nil"/>
              <w:left w:val="nil"/>
              <w:bottom w:val="single" w:color="auto" w:sz="6" w:space="0"/>
              <w:right w:val="single" w:color="auto" w:sz="6" w:space="0"/>
            </w:tcBorders>
            <w:shd w:val="clear" w:color="auto" w:fill="auto"/>
            <w:noWrap/>
            <w:tcMar>
              <w:left w:w="105" w:type="dxa"/>
              <w:right w:w="105" w:type="dxa"/>
            </w:tcMar>
            <w:vAlign w:val="center"/>
          </w:tcPr>
          <w:p>
            <w:pPr>
              <w:keepNext w:val="0"/>
              <w:keepLines w:val="0"/>
              <w:widowControl/>
              <w:suppressLineNumbers w:val="0"/>
              <w:jc w:val="left"/>
            </w:pPr>
          </w:p>
        </w:tc>
        <w:tc>
          <w:tcPr>
            <w:tcW w:w="1185" w:type="dxa"/>
            <w:tcBorders>
              <w:top w:val="nil"/>
              <w:left w:val="nil"/>
              <w:bottom w:val="single" w:color="auto" w:sz="6" w:space="0"/>
              <w:right w:val="single" w:color="auto" w:sz="6" w:space="0"/>
            </w:tcBorders>
            <w:shd w:val="clear" w:color="auto" w:fill="auto"/>
            <w:noWrap/>
            <w:tcMar>
              <w:left w:w="105"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7" w:hRule="atLeast"/>
        </w:trPr>
        <w:tc>
          <w:tcPr>
            <w:tcW w:w="7571" w:type="dxa"/>
            <w:gridSpan w:val="2"/>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（一）政府信息公开工作专门机构数</w:t>
            </w:r>
          </w:p>
        </w:tc>
        <w:tc>
          <w:tcPr>
            <w:tcW w:w="703" w:type="dxa"/>
            <w:gridSpan w:val="2"/>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个</w:t>
            </w:r>
          </w:p>
        </w:tc>
        <w:tc>
          <w:tcPr>
            <w:tcW w:w="1185"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7" w:hRule="atLeast"/>
        </w:trPr>
        <w:tc>
          <w:tcPr>
            <w:tcW w:w="7571" w:type="dxa"/>
            <w:gridSpan w:val="2"/>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（二）设置政府信息公开查阅点数</w:t>
            </w:r>
          </w:p>
        </w:tc>
        <w:tc>
          <w:tcPr>
            <w:tcW w:w="703" w:type="dxa"/>
            <w:gridSpan w:val="2"/>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个</w:t>
            </w:r>
          </w:p>
        </w:tc>
        <w:tc>
          <w:tcPr>
            <w:tcW w:w="1185"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7" w:hRule="atLeast"/>
        </w:trPr>
        <w:tc>
          <w:tcPr>
            <w:tcW w:w="7571" w:type="dxa"/>
            <w:gridSpan w:val="2"/>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（三）从事政府信息公开工作人员数</w:t>
            </w:r>
          </w:p>
        </w:tc>
        <w:tc>
          <w:tcPr>
            <w:tcW w:w="703" w:type="dxa"/>
            <w:gridSpan w:val="2"/>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人</w:t>
            </w:r>
          </w:p>
        </w:tc>
        <w:tc>
          <w:tcPr>
            <w:tcW w:w="1185"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7" w:hRule="atLeast"/>
        </w:trPr>
        <w:tc>
          <w:tcPr>
            <w:tcW w:w="7571" w:type="dxa"/>
            <w:gridSpan w:val="2"/>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1.专职人员数（不包括政府公报及政府网站工作人员数）</w:t>
            </w:r>
          </w:p>
        </w:tc>
        <w:tc>
          <w:tcPr>
            <w:tcW w:w="703" w:type="dxa"/>
            <w:gridSpan w:val="2"/>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人</w:t>
            </w:r>
          </w:p>
        </w:tc>
        <w:tc>
          <w:tcPr>
            <w:tcW w:w="1185"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7" w:hRule="atLeast"/>
        </w:trPr>
        <w:tc>
          <w:tcPr>
            <w:tcW w:w="7571" w:type="dxa"/>
            <w:gridSpan w:val="2"/>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2.兼职人员数</w:t>
            </w:r>
          </w:p>
        </w:tc>
        <w:tc>
          <w:tcPr>
            <w:tcW w:w="703" w:type="dxa"/>
            <w:gridSpan w:val="2"/>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人</w:t>
            </w:r>
          </w:p>
        </w:tc>
        <w:tc>
          <w:tcPr>
            <w:tcW w:w="1185"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5" w:hRule="atLeast"/>
        </w:trPr>
        <w:tc>
          <w:tcPr>
            <w:tcW w:w="7571" w:type="dxa"/>
            <w:gridSpan w:val="2"/>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960" w:right="0"/>
              <w:jc w:val="left"/>
            </w:pPr>
            <w:r>
              <w:rPr>
                <w:rFonts w:hint="eastAsia" w:ascii="仿宋_GB2312" w:eastAsia="仿宋_GB2312" w:cs="仿宋_GB2312"/>
                <w:sz w:val="24"/>
                <w:szCs w:val="24"/>
              </w:rPr>
              <w:t>  （四）政府信息公开专项经费（不包括用于政府公报编辑管理及政府网站建设维护等方面的经费）</w:t>
            </w:r>
          </w:p>
        </w:tc>
        <w:tc>
          <w:tcPr>
            <w:tcW w:w="703" w:type="dxa"/>
            <w:gridSpan w:val="2"/>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万元</w:t>
            </w:r>
          </w:p>
        </w:tc>
        <w:tc>
          <w:tcPr>
            <w:tcW w:w="1185"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7" w:hRule="atLeast"/>
        </w:trPr>
        <w:tc>
          <w:tcPr>
            <w:tcW w:w="7571" w:type="dxa"/>
            <w:gridSpan w:val="2"/>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黑体" w:hAnsi="宋体" w:eastAsia="黑体" w:cs="黑体"/>
                <w:color w:val="000000"/>
                <w:sz w:val="24"/>
                <w:szCs w:val="24"/>
              </w:rPr>
              <w:t>九、政府信息公开会议和培训情况</w:t>
            </w:r>
          </w:p>
        </w:tc>
        <w:tc>
          <w:tcPr>
            <w:tcW w:w="703" w:type="dxa"/>
            <w:gridSpan w:val="2"/>
            <w:tcBorders>
              <w:top w:val="nil"/>
              <w:left w:val="nil"/>
              <w:bottom w:val="single" w:color="auto" w:sz="6" w:space="0"/>
              <w:right w:val="single" w:color="auto" w:sz="6" w:space="0"/>
            </w:tcBorders>
            <w:shd w:val="clear" w:color="auto" w:fill="auto"/>
            <w:noWrap/>
            <w:tcMar>
              <w:left w:w="105" w:type="dxa"/>
              <w:right w:w="105" w:type="dxa"/>
            </w:tcMar>
            <w:vAlign w:val="center"/>
          </w:tcPr>
          <w:p>
            <w:pPr>
              <w:keepNext w:val="0"/>
              <w:keepLines w:val="0"/>
              <w:widowControl/>
              <w:suppressLineNumbers w:val="0"/>
              <w:jc w:val="left"/>
            </w:pPr>
          </w:p>
        </w:tc>
        <w:tc>
          <w:tcPr>
            <w:tcW w:w="1185" w:type="dxa"/>
            <w:tcBorders>
              <w:top w:val="nil"/>
              <w:left w:val="nil"/>
              <w:bottom w:val="single" w:color="auto" w:sz="6" w:space="0"/>
              <w:right w:val="single" w:color="auto" w:sz="6" w:space="0"/>
            </w:tcBorders>
            <w:shd w:val="clear" w:color="auto" w:fill="auto"/>
            <w:noWrap/>
            <w:tcMar>
              <w:left w:w="105"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7" w:hRule="atLeast"/>
        </w:trPr>
        <w:tc>
          <w:tcPr>
            <w:tcW w:w="7571" w:type="dxa"/>
            <w:gridSpan w:val="2"/>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（一）召开政府信息公开工作会议或专题会议数</w:t>
            </w:r>
          </w:p>
        </w:tc>
        <w:tc>
          <w:tcPr>
            <w:tcW w:w="703" w:type="dxa"/>
            <w:gridSpan w:val="2"/>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次</w:t>
            </w:r>
          </w:p>
        </w:tc>
        <w:tc>
          <w:tcPr>
            <w:tcW w:w="1185"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7" w:hRule="atLeast"/>
        </w:trPr>
        <w:tc>
          <w:tcPr>
            <w:tcW w:w="7571" w:type="dxa"/>
            <w:gridSpan w:val="2"/>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（二）举办各类培训班数</w:t>
            </w:r>
          </w:p>
        </w:tc>
        <w:tc>
          <w:tcPr>
            <w:tcW w:w="703" w:type="dxa"/>
            <w:gridSpan w:val="2"/>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次</w:t>
            </w:r>
          </w:p>
        </w:tc>
        <w:tc>
          <w:tcPr>
            <w:tcW w:w="1185"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7" w:hRule="atLeast"/>
        </w:trPr>
        <w:tc>
          <w:tcPr>
            <w:tcW w:w="7571" w:type="dxa"/>
            <w:gridSpan w:val="2"/>
            <w:tcBorders>
              <w:top w:val="nil"/>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（三）接受培训人员数</w:t>
            </w:r>
          </w:p>
        </w:tc>
        <w:tc>
          <w:tcPr>
            <w:tcW w:w="703" w:type="dxa"/>
            <w:gridSpan w:val="2"/>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4"/>
                <w:szCs w:val="24"/>
              </w:rPr>
              <w:t>人次</w:t>
            </w:r>
          </w:p>
        </w:tc>
        <w:tc>
          <w:tcPr>
            <w:tcW w:w="1185" w:type="dxa"/>
            <w:tcBorders>
              <w:top w:val="nil"/>
              <w:left w:val="nil"/>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4"/>
                <w:szCs w:val="24"/>
              </w:rPr>
              <w:t>　65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7" w:hRule="atLeast"/>
        </w:trPr>
        <w:tc>
          <w:tcPr>
            <w:tcW w:w="9459" w:type="dxa"/>
            <w:gridSpan w:val="5"/>
            <w:tcBorders>
              <w:top w:val="nil"/>
              <w:left w:val="nil"/>
              <w:bottom w:val="nil"/>
              <w:right w:val="nil"/>
            </w:tcBorders>
            <w:shd w:val="clear" w:color="auto" w:fill="auto"/>
            <w:noWrap/>
            <w:tcMar>
              <w:left w:w="105" w:type="dxa"/>
              <w:right w:w="105" w:type="dxa"/>
            </w:tcMar>
            <w:vAlign w:val="center"/>
          </w:tcPr>
          <w:p>
            <w:pPr>
              <w:keepNext w:val="0"/>
              <w:keepLines w:val="0"/>
              <w:widowControl/>
              <w:suppressLineNumbers w:val="0"/>
              <w:jc w:val="left"/>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0B2752"/>
    <w:rsid w:val="24D72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笨笨熊</cp:lastModifiedBy>
  <dcterms:modified xsi:type="dcterms:W3CDTF">2021-05-17T09:04:26Z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BB6EEBBBB3414D088525E5B49180E1FD</vt:lpwstr>
  </property>
</Properties>
</file>