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bookmarkEnd w:id="0"/>
      <w:r>
        <w:rPr>
          <w:rFonts w:ascii="方正小标宋简体" w:hAnsi="方正小标宋简体" w:eastAsia="方正小标宋简体" w:cs="方正小标宋简体"/>
          <w:i w:val="0"/>
          <w:iCs w:val="0"/>
          <w:caps w:val="0"/>
          <w:color w:val="444444"/>
          <w:spacing w:val="0"/>
          <w:sz w:val="36"/>
          <w:szCs w:val="36"/>
        </w:rPr>
        <w:t>西城区政府部门共性权力清单</w:t>
      </w:r>
    </w:p>
    <w:tbl>
      <w:tblPr>
        <w:tblpPr w:leftFromText="180" w:rightFromText="180" w:vertAnchor="text" w:horzAnchor="page" w:tblpX="1675" w:tblpY="320"/>
        <w:tblOverlap w:val="never"/>
        <w:tblW w:w="92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4"/>
        <w:gridCol w:w="6933"/>
        <w:gridCol w:w="1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5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黑体" w:hAnsi="宋体" w:eastAsia="黑体" w:cs="黑体"/>
                <w:i w:val="0"/>
                <w:iCs w:val="0"/>
                <w:caps w:val="0"/>
                <w:color w:val="000000"/>
                <w:spacing w:val="0"/>
                <w:sz w:val="28"/>
                <w:szCs w:val="28"/>
                <w:bdr w:val="none" w:color="auto" w:sz="0" w:space="0"/>
              </w:rPr>
              <w:t>序号</w:t>
            </w:r>
          </w:p>
        </w:tc>
        <w:tc>
          <w:tcPr>
            <w:tcW w:w="6945" w:type="dxa"/>
            <w:tcBorders>
              <w:top w:val="single" w:color="auto" w:sz="6" w:space="0"/>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i w:val="0"/>
                <w:iCs w:val="0"/>
                <w:caps w:val="0"/>
                <w:color w:val="000000"/>
                <w:spacing w:val="0"/>
                <w:sz w:val="28"/>
                <w:szCs w:val="28"/>
                <w:bdr w:val="none" w:color="auto" w:sz="0" w:space="0"/>
              </w:rPr>
              <w:t>事项名称</w:t>
            </w:r>
          </w:p>
        </w:tc>
        <w:tc>
          <w:tcPr>
            <w:tcW w:w="1425" w:type="dxa"/>
            <w:tcBorders>
              <w:top w:val="single" w:color="auto" w:sz="6" w:space="0"/>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i w:val="0"/>
                <w:iCs w:val="0"/>
                <w:caps w:val="0"/>
                <w:color w:val="000000"/>
                <w:spacing w:val="0"/>
                <w:sz w:val="28"/>
                <w:szCs w:val="28"/>
                <w:bdr w:val="none" w:color="auto" w:sz="0" w:space="0"/>
              </w:rPr>
              <w:t>职权类别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sans-serif" w:eastAsia="仿宋_GB2312" w:cs="仿宋_GB2312"/>
                <w:i w:val="0"/>
                <w:iCs w:val="0"/>
                <w:caps w:val="0"/>
                <w:color w:val="000000"/>
                <w:spacing w:val="0"/>
                <w:sz w:val="28"/>
                <w:szCs w:val="28"/>
                <w:bdr w:val="none" w:color="auto" w:sz="0" w:space="0"/>
              </w:rPr>
              <w:t>1</w:t>
            </w:r>
          </w:p>
        </w:tc>
        <w:tc>
          <w:tcPr>
            <w:tcW w:w="694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对行政机关依法作出金钱给付义务的行政决定当事人逾期不履行的加处罚款</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行政强制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2</w:t>
            </w:r>
          </w:p>
        </w:tc>
        <w:tc>
          <w:tcPr>
            <w:tcW w:w="694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对存在违法行为的当事人实施行政处罚时，责令当事人改正或者限期改正违法行为</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3</w:t>
            </w:r>
          </w:p>
        </w:tc>
        <w:tc>
          <w:tcPr>
            <w:tcW w:w="694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在证据可能灭失或者以后难以取得的情况下，经行政机关负责人批准，可以先行登记保存</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4</w:t>
            </w:r>
          </w:p>
        </w:tc>
        <w:tc>
          <w:tcPr>
            <w:tcW w:w="694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行政机关在收集证据时，可以采取抽样取证的方法</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5</w:t>
            </w:r>
          </w:p>
        </w:tc>
        <w:tc>
          <w:tcPr>
            <w:tcW w:w="694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对行政机关工作人员滥用职权、玩忽职守作出准予行政许可决定的撤销行政许可</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6</w:t>
            </w:r>
          </w:p>
        </w:tc>
        <w:tc>
          <w:tcPr>
            <w:tcW w:w="694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对超越法定职权作出准予行政许可决定的撤销行政许可</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7</w:t>
            </w:r>
          </w:p>
        </w:tc>
        <w:tc>
          <w:tcPr>
            <w:tcW w:w="694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对违反法定程序作出准予行政许可决定的撤销行政许可</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8</w:t>
            </w:r>
          </w:p>
        </w:tc>
        <w:tc>
          <w:tcPr>
            <w:tcW w:w="694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对不具备申请资格或者不符合法定条件的申请人准予行政许可的撤销行政许可</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9</w:t>
            </w:r>
          </w:p>
        </w:tc>
        <w:tc>
          <w:tcPr>
            <w:tcW w:w="694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对被许可人以欺骗、贿赂等不正当手段取得行政许可的撤销行政许可</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10</w:t>
            </w:r>
          </w:p>
        </w:tc>
        <w:tc>
          <w:tcPr>
            <w:tcW w:w="694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对行政许可有效期届满未延续的注销许可</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11</w:t>
            </w:r>
          </w:p>
        </w:tc>
        <w:tc>
          <w:tcPr>
            <w:tcW w:w="694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对赋予公民特定资格的行政许可，该公民死亡或者丧失行为能力的注销许可</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12</w:t>
            </w:r>
          </w:p>
        </w:tc>
        <w:tc>
          <w:tcPr>
            <w:tcW w:w="694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对法人或者其他组织依法终止的注销许可</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13</w:t>
            </w:r>
          </w:p>
        </w:tc>
        <w:tc>
          <w:tcPr>
            <w:tcW w:w="694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对行政许可依法被撤销、撤回，或者行政许可证件依法被吊销的注销许可</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14</w:t>
            </w:r>
          </w:p>
        </w:tc>
        <w:tc>
          <w:tcPr>
            <w:tcW w:w="694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对因不可抗力导致行政许可事项无法实施的注销许可</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15</w:t>
            </w:r>
          </w:p>
        </w:tc>
        <w:tc>
          <w:tcPr>
            <w:tcW w:w="694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对行政许可所依据的法律、法规、规章修改或者废止，或者准予行政许可所依据的客观情况发生重大变化的，为了公共利益的需要，依法变更或者撤回已经生效的行政许可</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sans-serif" w:eastAsia="仿宋_GB2312" w:cs="仿宋_GB2312"/>
                <w:i w:val="0"/>
                <w:iCs w:val="0"/>
                <w:caps w:val="0"/>
                <w:color w:val="000000"/>
                <w:spacing w:val="0"/>
                <w:sz w:val="28"/>
                <w:szCs w:val="28"/>
                <w:bdr w:val="none" w:color="auto" w:sz="0" w:space="0"/>
              </w:rPr>
              <w:t>其他</w:t>
            </w:r>
          </w:p>
        </w:tc>
      </w:tr>
    </w:tbl>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ascii="Arial" w:hAnsi="Arial" w:cs="Arial"/>
          <w:i w:val="0"/>
          <w:iCs w:val="0"/>
          <w:caps w:val="0"/>
          <w:color w:val="444444"/>
          <w:spacing w:val="0"/>
          <w:sz w:val="18"/>
          <w:szCs w:val="18"/>
        </w:rPr>
      </w:pPr>
      <w:r>
        <w:rPr>
          <w:rFonts w:hint="default" w:ascii="Arial" w:hAnsi="Arial" w:cs="Arial"/>
          <w:i w:val="0"/>
          <w:iCs w:val="0"/>
          <w:caps w:val="0"/>
          <w:color w:val="444444"/>
          <w:spacing w:val="0"/>
          <w:sz w:val="18"/>
          <w:szCs w:val="18"/>
        </w:rPr>
        <w:t> </w:t>
      </w:r>
    </w:p>
    <w:p>
      <w:pPr>
        <w:pStyle w:val="2"/>
        <w:keepNext w:val="0"/>
        <w:keepLines w:val="0"/>
        <w:widowControl/>
        <w:suppressLineNumbers w:val="0"/>
        <w:spacing w:before="75" w:beforeAutospacing="0" w:after="75" w:afterAutospacing="0"/>
        <w:ind w:left="0" w:right="0" w:firstLine="555"/>
        <w:rPr>
          <w:rFonts w:hint="default" w:ascii="Arial" w:hAnsi="Arial" w:cs="Arial"/>
          <w:i w:val="0"/>
          <w:iCs w:val="0"/>
          <w:caps w:val="0"/>
          <w:color w:val="444444"/>
          <w:spacing w:val="0"/>
          <w:sz w:val="18"/>
          <w:szCs w:val="18"/>
        </w:rPr>
      </w:pPr>
      <w:r>
        <w:rPr>
          <w:rStyle w:val="5"/>
          <w:rFonts w:hint="eastAsia" w:ascii="仿宋_GB2312" w:hAnsi="Arial" w:eastAsia="仿宋_GB2312" w:cs="仿宋_GB2312"/>
          <w:i w:val="0"/>
          <w:iCs w:val="0"/>
          <w:caps w:val="0"/>
          <w:color w:val="444444"/>
          <w:spacing w:val="0"/>
          <w:sz w:val="24"/>
          <w:szCs w:val="24"/>
        </w:rPr>
        <w:t>注：</w:t>
      </w:r>
    </w:p>
    <w:p>
      <w:pPr>
        <w:pStyle w:val="2"/>
        <w:keepNext w:val="0"/>
        <w:keepLines w:val="0"/>
        <w:widowControl/>
        <w:suppressLineNumbers w:val="0"/>
        <w:spacing w:before="75" w:beforeAutospacing="0" w:after="75" w:afterAutospacing="0"/>
        <w:ind w:left="0" w:right="0" w:firstLine="555"/>
        <w:rPr>
          <w:rFonts w:hint="default" w:ascii="Arial" w:hAnsi="Arial" w:cs="Arial"/>
          <w:i w:val="0"/>
          <w:iCs w:val="0"/>
          <w:caps w:val="0"/>
          <w:color w:val="444444"/>
          <w:spacing w:val="0"/>
          <w:sz w:val="18"/>
          <w:szCs w:val="18"/>
        </w:rPr>
      </w:pPr>
      <w:r>
        <w:rPr>
          <w:rStyle w:val="5"/>
          <w:rFonts w:hint="eastAsia" w:ascii="仿宋_GB2312" w:hAnsi="Arial" w:eastAsia="仿宋_GB2312" w:cs="仿宋_GB2312"/>
          <w:i w:val="0"/>
          <w:iCs w:val="0"/>
          <w:caps w:val="0"/>
          <w:color w:val="444444"/>
          <w:spacing w:val="0"/>
          <w:sz w:val="24"/>
          <w:szCs w:val="24"/>
        </w:rPr>
        <w:t>一、第1-4项，为有行政处罚权或行政检查权的行政执法部门适用。无行政处罚权或行政检查权的区政府工作部门，不具有该4项权力。  </w:t>
      </w:r>
    </w:p>
    <w:p>
      <w:pPr>
        <w:pStyle w:val="2"/>
        <w:keepNext w:val="0"/>
        <w:keepLines w:val="0"/>
        <w:widowControl/>
        <w:suppressLineNumbers w:val="0"/>
        <w:spacing w:before="75" w:beforeAutospacing="0" w:after="75" w:afterAutospacing="0"/>
        <w:ind w:left="0" w:right="0" w:firstLine="555"/>
        <w:rPr>
          <w:rFonts w:hint="default" w:ascii="Arial" w:hAnsi="Arial" w:cs="Arial"/>
          <w:i w:val="0"/>
          <w:iCs w:val="0"/>
          <w:caps w:val="0"/>
          <w:color w:val="444444"/>
          <w:spacing w:val="0"/>
          <w:sz w:val="18"/>
          <w:szCs w:val="18"/>
        </w:rPr>
      </w:pPr>
      <w:r>
        <w:rPr>
          <w:rStyle w:val="5"/>
          <w:rFonts w:hint="eastAsia" w:ascii="仿宋_GB2312" w:hAnsi="Arial" w:eastAsia="仿宋_GB2312" w:cs="仿宋_GB2312"/>
          <w:i w:val="0"/>
          <w:iCs w:val="0"/>
          <w:caps w:val="0"/>
          <w:color w:val="444444"/>
          <w:spacing w:val="0"/>
          <w:sz w:val="24"/>
          <w:szCs w:val="24"/>
        </w:rPr>
        <w:t>二、第5-15项，为有行政许可权的行政执法部门适用。无行政许可决定权的区政府工作部门，不具有该11项权力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409EE"/>
    <w:rsid w:val="26F40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2021-07-07T04:05:00Z</dcterms:created>
  <dc:creator>炫    飛</dc:creator>
  <cp:lastModifiedBy>炫    飛</cp:lastModifiedBy>
  <dcterms:modified xsi:type="dcterms:W3CDTF">2021-07-07T04:06:03Z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A2CF15A65F1542158FA9AF1768E66471</vt:lpwstr>
  </property>
</Properties>
</file>