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0"/>
          <w:szCs w:val="30"/>
        </w:rPr>
      </w:pPr>
      <w:r>
        <w:rPr>
          <w:rFonts w:hint="eastAsia" w:ascii="仿宋_GB2312" w:hAnsi="仿宋_GB2312" w:eastAsia="仿宋_GB2312" w:cs="仿宋_GB2312"/>
          <w:sz w:val="30"/>
          <w:szCs w:val="30"/>
        </w:rPr>
        <w:t>附件5</w:t>
      </w:r>
    </w:p>
    <w:p>
      <w:pPr>
        <w:spacing w:line="6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西城区20</w:t>
      </w:r>
      <w:r>
        <w:rPr>
          <w:rFonts w:hint="eastAsia" w:ascii="方正小标宋简体" w:hAnsi="方正小标宋简体" w:eastAsia="方正小标宋简体" w:cs="方正小标宋简体"/>
          <w:b/>
          <w:kern w:val="0"/>
          <w:sz w:val="44"/>
          <w:szCs w:val="44"/>
          <w:lang w:val="en-US" w:eastAsia="zh-CN"/>
        </w:rPr>
        <w:t>20</w:t>
      </w:r>
      <w:r>
        <w:rPr>
          <w:rFonts w:hint="eastAsia" w:ascii="方正小标宋简体" w:hAnsi="方正小标宋简体" w:eastAsia="方正小标宋简体" w:cs="方正小标宋简体"/>
          <w:b/>
          <w:kern w:val="0"/>
          <w:sz w:val="44"/>
          <w:szCs w:val="44"/>
        </w:rPr>
        <w:t>年百姓生活服务中心项目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kern w:val="0"/>
          <w:sz w:val="44"/>
          <w:szCs w:val="44"/>
        </w:rPr>
        <w:t>申报指南</w:t>
      </w: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一、支持方向</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以社区居民为主要服务对象，以满足社区居民日常生活消费和服务需求为目标，商业服务业态齐全、功能齐备的集约型一站式社区便民商业服务综合体。百姓生活服务中心分为单体式和街区式两种类型，服务业态与功能应符合首都中心城区功能定位，符合</w:t>
      </w:r>
      <w:r>
        <w:rPr>
          <w:rFonts w:hint="eastAsia" w:ascii="仿宋_GB2312" w:hAnsi="Calibri" w:eastAsia="仿宋_GB2312" w:cs="仿宋_GB2312"/>
          <w:color w:val="000000"/>
          <w:sz w:val="32"/>
          <w:szCs w:val="32"/>
        </w:rPr>
        <w:t>便利化、规范化、品牌化、连锁化、集约化和智能化</w:t>
      </w:r>
      <w:r>
        <w:rPr>
          <w:rFonts w:hint="eastAsia" w:ascii="仿宋_GB2312" w:hAnsi="Calibri" w:eastAsia="仿宋_GB2312" w:cs="黑体"/>
          <w:sz w:val="32"/>
          <w:szCs w:val="32"/>
        </w:rPr>
        <w:t>发展方向。</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单体式百姓生活服务中心是指为了满足社区居民基本的生活消费和服务需求，在单体建筑内建立的商业服务业态齐全、功能齐备的集约型社区商业综合体。</w:t>
      </w:r>
    </w:p>
    <w:p>
      <w:pPr>
        <w:spacing w:line="480" w:lineRule="exact"/>
        <w:ind w:firstLine="640" w:firstLineChars="200"/>
        <w:rPr>
          <w:rFonts w:ascii="仿宋" w:hAnsi="仿宋" w:eastAsia="仿宋" w:cs="仿宋"/>
          <w:sz w:val="32"/>
          <w:szCs w:val="32"/>
        </w:rPr>
      </w:pPr>
      <w:r>
        <w:rPr>
          <w:rFonts w:hint="eastAsia" w:ascii="仿宋_GB2312" w:hAnsi="Calibri" w:eastAsia="仿宋_GB2312" w:cs="黑体"/>
          <w:sz w:val="32"/>
          <w:szCs w:val="32"/>
        </w:rPr>
        <w:t>街区式百姓生活服务中心是指为了满足社区居民基本生活消费和服务需求，在居住区主要交通街道两侧设置底商或独立店铺形成的商业服务业态齐全、功能齐备的集约型社区商业群。</w:t>
      </w:r>
    </w:p>
    <w:p>
      <w:pPr>
        <w:spacing w:line="480" w:lineRule="exact"/>
        <w:ind w:firstLine="640" w:firstLineChars="200"/>
        <w:rPr>
          <w:rFonts w:ascii="黑体" w:hAnsi="黑体" w:eastAsia="黑体" w:cs="仿宋"/>
          <w:sz w:val="32"/>
          <w:szCs w:val="32"/>
        </w:rPr>
      </w:pPr>
      <w:r>
        <w:rPr>
          <w:rFonts w:hint="eastAsia" w:ascii="黑体" w:hAnsi="黑体" w:eastAsia="黑体" w:cs="仿宋"/>
          <w:sz w:val="32"/>
          <w:szCs w:val="32"/>
        </w:rPr>
        <w:t>二、支持内容</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对符合相关法律、法规及行业标准规范的要求，于20</w:t>
      </w:r>
      <w:r>
        <w:rPr>
          <w:rFonts w:hint="eastAsia" w:ascii="仿宋_GB2312" w:hAnsi="Calibri" w:eastAsia="仿宋_GB2312" w:cs="黑体"/>
          <w:sz w:val="32"/>
          <w:szCs w:val="32"/>
          <w:lang w:val="en-US" w:eastAsia="zh-CN"/>
        </w:rPr>
        <w:t>20</w:t>
      </w:r>
      <w:r>
        <w:rPr>
          <w:rFonts w:hint="eastAsia" w:ascii="仿宋_GB2312" w:hAnsi="Calibri" w:eastAsia="仿宋_GB2312" w:cs="黑体"/>
          <w:sz w:val="32"/>
          <w:szCs w:val="32"/>
        </w:rPr>
        <w:t>年12月31日</w:t>
      </w:r>
      <w:r>
        <w:rPr>
          <w:rFonts w:hint="eastAsia" w:ascii="仿宋_GB2312" w:hAnsi="Calibri" w:eastAsia="仿宋_GB2312" w:cs="黑体"/>
          <w:sz w:val="32"/>
          <w:szCs w:val="32"/>
          <w:lang w:eastAsia="zh-CN"/>
        </w:rPr>
        <w:t>前</w:t>
      </w:r>
      <w:r>
        <w:rPr>
          <w:rFonts w:hint="eastAsia" w:ascii="仿宋_GB2312" w:hAnsi="Calibri" w:eastAsia="仿宋_GB2312" w:cs="黑体"/>
          <w:sz w:val="32"/>
          <w:szCs w:val="32"/>
        </w:rPr>
        <w:t>完工并开业的新建和提升改造的百姓生活服务中心项目给予支持。</w:t>
      </w:r>
    </w:p>
    <w:p>
      <w:pPr>
        <w:spacing w:line="480" w:lineRule="exact"/>
        <w:ind w:firstLine="640" w:firstLineChars="200"/>
        <w:rPr>
          <w:rFonts w:hint="eastAsia" w:ascii="仿宋_GB2312" w:hAnsi="Calibri" w:eastAsia="仿宋_GB2312" w:cs="黑体"/>
          <w:sz w:val="32"/>
          <w:szCs w:val="32"/>
          <w:lang w:eastAsia="zh-CN"/>
        </w:rPr>
      </w:pPr>
      <w:r>
        <w:rPr>
          <w:rFonts w:hint="eastAsia" w:ascii="仿宋_GB2312" w:hAnsi="Calibri" w:eastAsia="仿宋_GB2312" w:cs="黑体"/>
          <w:sz w:val="32"/>
          <w:szCs w:val="32"/>
        </w:rPr>
        <w:t>对</w:t>
      </w:r>
      <w:r>
        <w:rPr>
          <w:rFonts w:hint="eastAsia" w:ascii="仿宋_GB2312" w:hAnsi="Calibri" w:eastAsia="仿宋_GB2312" w:cs="黑体"/>
          <w:sz w:val="32"/>
          <w:szCs w:val="32"/>
          <w:lang w:eastAsia="zh-CN"/>
        </w:rPr>
        <w:t>符合百姓生活服务中心建设规范，同时得到属地街道地区规划和居民认可的便民服务综合体，于201</w:t>
      </w:r>
      <w:r>
        <w:rPr>
          <w:rFonts w:hint="eastAsia" w:ascii="仿宋_GB2312" w:hAnsi="Calibri" w:eastAsia="仿宋_GB2312" w:cs="黑体"/>
          <w:sz w:val="32"/>
          <w:szCs w:val="32"/>
          <w:lang w:val="en-US" w:eastAsia="zh-CN"/>
        </w:rPr>
        <w:t>9</w:t>
      </w:r>
      <w:r>
        <w:rPr>
          <w:rFonts w:hint="eastAsia" w:ascii="仿宋_GB2312" w:hAnsi="Calibri" w:eastAsia="仿宋_GB2312" w:cs="黑体"/>
          <w:sz w:val="32"/>
          <w:szCs w:val="32"/>
          <w:lang w:eastAsia="zh-CN"/>
        </w:rPr>
        <w:t>年</w:t>
      </w:r>
      <w:r>
        <w:rPr>
          <w:rFonts w:hint="eastAsia" w:ascii="仿宋_GB2312" w:hAnsi="Calibri" w:eastAsia="仿宋_GB2312" w:cs="黑体"/>
          <w:sz w:val="32"/>
          <w:szCs w:val="32"/>
          <w:lang w:val="en-US" w:eastAsia="zh-CN"/>
        </w:rPr>
        <w:t>9</w:t>
      </w:r>
      <w:r>
        <w:rPr>
          <w:rFonts w:hint="eastAsia" w:ascii="仿宋_GB2312" w:hAnsi="Calibri" w:eastAsia="仿宋_GB2312" w:cs="黑体"/>
          <w:sz w:val="32"/>
          <w:szCs w:val="32"/>
          <w:lang w:eastAsia="zh-CN"/>
        </w:rPr>
        <w:t>月1日-20</w:t>
      </w:r>
      <w:r>
        <w:rPr>
          <w:rFonts w:hint="eastAsia" w:ascii="仿宋_GB2312" w:hAnsi="Calibri" w:eastAsia="仿宋_GB2312" w:cs="黑体"/>
          <w:sz w:val="32"/>
          <w:szCs w:val="32"/>
          <w:lang w:val="en-US" w:eastAsia="zh-CN"/>
        </w:rPr>
        <w:t>20</w:t>
      </w:r>
      <w:r>
        <w:rPr>
          <w:rFonts w:hint="eastAsia" w:ascii="仿宋_GB2312" w:hAnsi="Calibri" w:eastAsia="仿宋_GB2312" w:cs="黑体"/>
          <w:sz w:val="32"/>
          <w:szCs w:val="32"/>
          <w:lang w:eastAsia="zh-CN"/>
        </w:rPr>
        <w:t>年</w:t>
      </w:r>
      <w:r>
        <w:rPr>
          <w:rFonts w:hint="eastAsia" w:ascii="仿宋_GB2312" w:hAnsi="Calibri" w:eastAsia="仿宋_GB2312" w:cs="黑体"/>
          <w:sz w:val="32"/>
          <w:szCs w:val="32"/>
          <w:lang w:val="en-US" w:eastAsia="zh-CN"/>
        </w:rPr>
        <w:t>12</w:t>
      </w:r>
      <w:r>
        <w:rPr>
          <w:rFonts w:hint="eastAsia" w:ascii="仿宋_GB2312" w:hAnsi="Calibri" w:eastAsia="仿宋_GB2312" w:cs="黑体"/>
          <w:sz w:val="32"/>
          <w:szCs w:val="32"/>
          <w:lang w:eastAsia="zh-CN"/>
        </w:rPr>
        <w:t>月31日期间持续经营满一年的百姓生活服务中心项目给予持续经营奖励支持。</w:t>
      </w:r>
    </w:p>
    <w:p>
      <w:pPr>
        <w:spacing w:line="480" w:lineRule="exact"/>
        <w:ind w:firstLine="640" w:firstLineChars="200"/>
        <w:rPr>
          <w:rFonts w:ascii="黑体" w:hAnsi="黑体" w:eastAsia="黑体" w:cs="仿宋"/>
          <w:sz w:val="32"/>
          <w:szCs w:val="32"/>
        </w:rPr>
      </w:pPr>
      <w:r>
        <w:rPr>
          <w:rFonts w:hint="eastAsia" w:ascii="黑体" w:hAnsi="黑体" w:eastAsia="黑体" w:cs="仿宋"/>
          <w:sz w:val="32"/>
          <w:szCs w:val="32"/>
        </w:rPr>
        <w:t>三、项目要求</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1、项目符合首都中心区城市建设规划要求，被所属街道认定符合本街道的生活性服务业规划布局，并经过民意立项。</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2、项目位于居住区，具有固定营业场所，具有一定的人口规模，居民步行10-15分钟内可到达。</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3、申报单位具有独立法人资格，能够统一招商、统一运营、统一管理、独立运作的优先。</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4、项目需具有相关证照、票据与资质齐全有效。</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5、便利化、规范化、品牌化、连锁化、集约化和智能化经营，具有良好的公共配套设施和经营环境。</w:t>
      </w:r>
    </w:p>
    <w:p>
      <w:pPr>
        <w:spacing w:line="480" w:lineRule="exact"/>
        <w:ind w:firstLine="566" w:firstLineChars="177"/>
        <w:rPr>
          <w:rFonts w:ascii="黑体" w:hAnsi="黑体" w:eastAsia="黑体" w:cs="仿宋"/>
          <w:sz w:val="32"/>
          <w:szCs w:val="32"/>
        </w:rPr>
      </w:pPr>
      <w:r>
        <w:rPr>
          <w:rFonts w:hint="eastAsia" w:ascii="黑体" w:hAnsi="黑体" w:eastAsia="黑体" w:cs="仿宋"/>
          <w:sz w:val="32"/>
          <w:szCs w:val="32"/>
        </w:rPr>
        <w:t>三、</w:t>
      </w:r>
      <w:r>
        <w:rPr>
          <w:rFonts w:hint="eastAsia" w:ascii="黑体" w:hAnsi="黑体" w:eastAsia="黑体" w:cs="仿宋"/>
          <w:bCs/>
          <w:sz w:val="32"/>
          <w:szCs w:val="32"/>
          <w:shd w:val="clear" w:color="auto" w:fill="FFFFFF"/>
        </w:rPr>
        <w:t>项目建设标准及运营标准</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(一)新建项目应达到的建设标准及运营标准</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1、百姓生活服务中心分等级建设与管理。按照建筑面积将百姓生活中心分为三个等级，其中面积在500(含)-1000(含)平方米的为一级，面积在1000-2000(含)平方米之间的为二级，面积大于2000平方米的为三级。</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2、百姓生活服务中心能够提供满足周边居民需求的下列便民服务功能，并符合街道生活性服务业规划与品质要求。</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（1）基本便民服务功能：蔬菜零售、便民早餐、便利店、洗衣洗染（门店、洗衣代收点）、便民理发、家政服务、便民修理、末端配送、小物超市（专柜、专区、门店）等。</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（2）扩展便民服务功能：即其他生活性服务业领域，包括居民和家庭服务、健康服务、养老服务、便民洗浴、便民储物</w:t>
      </w:r>
      <w:r>
        <w:rPr>
          <w:rFonts w:hint="eastAsia" w:ascii="仿宋_GB2312" w:hAnsi="Calibri" w:eastAsia="仿宋_GB2312" w:cs="黑体"/>
          <w:color w:val="00B0F0"/>
          <w:sz w:val="32"/>
          <w:szCs w:val="32"/>
        </w:rPr>
        <w:t>、</w:t>
      </w:r>
      <w:r>
        <w:rPr>
          <w:rFonts w:hint="eastAsia" w:ascii="仿宋_GB2312" w:hAnsi="Calibri" w:eastAsia="仿宋_GB2312" w:cs="黑体"/>
          <w:sz w:val="32"/>
          <w:szCs w:val="32"/>
        </w:rPr>
        <w:t>旅游服务、体育服务、文化服务、法律服务、零售服务、住宿餐饮服务、教育培训服务。</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百姓生活服务中心应达到的基本要求如下表：</w:t>
      </w:r>
    </w:p>
    <w:tbl>
      <w:tblPr>
        <w:tblStyle w:val="4"/>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85"/>
        <w:gridCol w:w="2552"/>
        <w:gridCol w:w="3118"/>
        <w:gridCol w:w="1881"/>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4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3F3F3"/>
            <w:vAlign w:val="center"/>
          </w:tcPr>
          <w:p>
            <w:pPr>
              <w:spacing w:line="480" w:lineRule="exact"/>
              <w:jc w:val="center"/>
              <w:rPr>
                <w:rFonts w:ascii="仿宋_GB2312" w:hAnsi="仿宋" w:eastAsia="仿宋_GB2312" w:cs="仿宋"/>
                <w:b/>
                <w:bCs/>
                <w:szCs w:val="21"/>
              </w:rPr>
            </w:pPr>
            <w:r>
              <w:rPr>
                <w:rFonts w:hint="eastAsia" w:ascii="仿宋_GB2312" w:hAnsi="仿宋" w:eastAsia="仿宋_GB2312" w:cs="仿宋"/>
                <w:b/>
                <w:bCs/>
                <w:szCs w:val="21"/>
              </w:rPr>
              <w:t>级别</w:t>
            </w:r>
          </w:p>
        </w:tc>
        <w:tc>
          <w:tcPr>
            <w:tcW w:w="1985" w:type="dxa"/>
            <w:tcBorders>
              <w:top w:val="single" w:color="auto" w:sz="4" w:space="0"/>
              <w:left w:val="nil"/>
              <w:bottom w:val="single" w:color="auto" w:sz="4" w:space="0"/>
              <w:right w:val="single" w:color="auto" w:sz="4" w:space="0"/>
            </w:tcBorders>
            <w:shd w:val="clear" w:color="auto" w:fill="F3F3F3"/>
            <w:vAlign w:val="center"/>
          </w:tcPr>
          <w:p>
            <w:pPr>
              <w:spacing w:line="480" w:lineRule="exact"/>
              <w:jc w:val="center"/>
              <w:rPr>
                <w:rFonts w:ascii="仿宋_GB2312" w:hAnsi="仿宋" w:eastAsia="仿宋_GB2312" w:cs="仿宋"/>
                <w:b/>
                <w:bCs/>
                <w:szCs w:val="21"/>
              </w:rPr>
            </w:pPr>
            <w:r>
              <w:rPr>
                <w:rFonts w:hint="eastAsia" w:ascii="仿宋_GB2312" w:hAnsi="仿宋" w:eastAsia="仿宋_GB2312" w:cs="仿宋"/>
                <w:b/>
                <w:bCs/>
                <w:szCs w:val="21"/>
              </w:rPr>
              <w:t>面 积</w:t>
            </w:r>
          </w:p>
        </w:tc>
        <w:tc>
          <w:tcPr>
            <w:tcW w:w="2552" w:type="dxa"/>
            <w:tcBorders>
              <w:top w:val="single" w:color="auto" w:sz="4" w:space="0"/>
              <w:left w:val="nil"/>
              <w:bottom w:val="single" w:color="auto" w:sz="4" w:space="0"/>
              <w:right w:val="single" w:color="auto" w:sz="4" w:space="0"/>
            </w:tcBorders>
            <w:shd w:val="clear" w:color="auto" w:fill="F3F3F3"/>
            <w:vAlign w:val="center"/>
          </w:tcPr>
          <w:p>
            <w:pPr>
              <w:spacing w:line="480" w:lineRule="exact"/>
              <w:jc w:val="center"/>
              <w:rPr>
                <w:rFonts w:ascii="仿宋_GB2312" w:hAnsi="仿宋" w:eastAsia="仿宋_GB2312" w:cs="仿宋"/>
                <w:b/>
                <w:bCs/>
                <w:szCs w:val="21"/>
              </w:rPr>
            </w:pPr>
            <w:r>
              <w:rPr>
                <w:rFonts w:hint="eastAsia" w:ascii="仿宋_GB2312" w:hAnsi="仿宋" w:eastAsia="仿宋_GB2312" w:cs="仿宋"/>
                <w:b/>
                <w:bCs/>
                <w:szCs w:val="21"/>
              </w:rPr>
              <w:t>服务功能</w:t>
            </w:r>
          </w:p>
        </w:tc>
        <w:tc>
          <w:tcPr>
            <w:tcW w:w="3118" w:type="dxa"/>
            <w:tcBorders>
              <w:top w:val="single" w:color="auto" w:sz="4" w:space="0"/>
              <w:left w:val="nil"/>
              <w:bottom w:val="single" w:color="auto" w:sz="4" w:space="0"/>
              <w:right w:val="single" w:color="auto" w:sz="4" w:space="0"/>
            </w:tcBorders>
            <w:shd w:val="clear" w:color="auto" w:fill="F3F3F3"/>
            <w:vAlign w:val="center"/>
          </w:tcPr>
          <w:p>
            <w:pPr>
              <w:spacing w:line="480" w:lineRule="exact"/>
              <w:jc w:val="center"/>
              <w:rPr>
                <w:rFonts w:ascii="仿宋_GB2312" w:hAnsi="仿宋" w:eastAsia="仿宋_GB2312" w:cs="仿宋"/>
                <w:b/>
                <w:bCs/>
                <w:szCs w:val="21"/>
              </w:rPr>
            </w:pPr>
            <w:r>
              <w:rPr>
                <w:rFonts w:hint="eastAsia" w:ascii="仿宋_GB2312" w:hAnsi="仿宋" w:eastAsia="仿宋_GB2312" w:cs="仿宋"/>
                <w:b/>
                <w:bCs/>
                <w:szCs w:val="21"/>
              </w:rPr>
              <w:t>信息化与配送</w:t>
            </w:r>
          </w:p>
        </w:tc>
        <w:tc>
          <w:tcPr>
            <w:tcW w:w="1881" w:type="dxa"/>
            <w:tcBorders>
              <w:top w:val="single" w:color="auto" w:sz="4" w:space="0"/>
              <w:left w:val="nil"/>
              <w:bottom w:val="single" w:color="auto" w:sz="4" w:space="0"/>
              <w:right w:val="single" w:color="auto" w:sz="4" w:space="0"/>
            </w:tcBorders>
            <w:shd w:val="clear" w:color="auto" w:fill="F3F3F3"/>
            <w:vAlign w:val="center"/>
          </w:tcPr>
          <w:p>
            <w:pPr>
              <w:spacing w:line="480" w:lineRule="exact"/>
              <w:jc w:val="center"/>
              <w:rPr>
                <w:rFonts w:ascii="仿宋_GB2312" w:hAnsi="仿宋" w:eastAsia="仿宋_GB2312" w:cs="仿宋"/>
                <w:b/>
                <w:bCs/>
                <w:szCs w:val="21"/>
              </w:rPr>
            </w:pPr>
            <w:r>
              <w:rPr>
                <w:rFonts w:hint="eastAsia" w:ascii="仿宋_GB2312" w:hAnsi="仿宋" w:eastAsia="仿宋_GB2312" w:cs="仿宋"/>
                <w:b/>
                <w:bCs/>
                <w:szCs w:val="21"/>
              </w:rPr>
              <w:t>必备服务功能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90" w:type="dxa"/>
            <w:tcBorders>
              <w:top w:val="nil"/>
              <w:left w:val="single" w:color="auto" w:sz="4" w:space="0"/>
              <w:bottom w:val="single" w:color="auto" w:sz="4" w:space="0"/>
              <w:right w:val="single" w:color="auto" w:sz="4" w:space="0"/>
            </w:tcBorders>
            <w:vAlign w:val="center"/>
          </w:tcPr>
          <w:p>
            <w:pPr>
              <w:spacing w:line="480" w:lineRule="exact"/>
              <w:jc w:val="left"/>
              <w:rPr>
                <w:rFonts w:ascii="仿宋_GB2312" w:hAnsi="仿宋" w:eastAsia="仿宋_GB2312" w:cs="仿宋"/>
                <w:b/>
                <w:bCs/>
                <w:sz w:val="30"/>
                <w:szCs w:val="30"/>
              </w:rPr>
            </w:pPr>
            <w:r>
              <w:rPr>
                <w:rFonts w:hint="eastAsia" w:ascii="仿宋_GB2312" w:hAnsi="Calibri" w:eastAsia="仿宋_GB2312" w:cs="黑体"/>
                <w:b/>
                <w:szCs w:val="21"/>
              </w:rPr>
              <w:t>一级</w:t>
            </w:r>
          </w:p>
        </w:tc>
        <w:tc>
          <w:tcPr>
            <w:tcW w:w="1985" w:type="dxa"/>
            <w:tcBorders>
              <w:top w:val="single" w:color="auto" w:sz="4" w:space="0"/>
              <w:left w:val="nil"/>
              <w:bottom w:val="single" w:color="auto" w:sz="4" w:space="0"/>
              <w:right w:val="single" w:color="auto" w:sz="4" w:space="0"/>
            </w:tcBorders>
            <w:vAlign w:val="center"/>
          </w:tcPr>
          <w:p>
            <w:pPr>
              <w:spacing w:line="320" w:lineRule="exact"/>
              <w:rPr>
                <w:rFonts w:ascii="仿宋_GB2312" w:hAnsi="Calibri" w:eastAsia="仿宋_GB2312" w:cs="黑体"/>
                <w:szCs w:val="21"/>
              </w:rPr>
            </w:pPr>
            <w:r>
              <w:rPr>
                <w:rFonts w:hint="eastAsia" w:ascii="仿宋_GB2312" w:hAnsi="Calibri" w:eastAsia="仿宋_GB2312" w:cs="黑体"/>
                <w:szCs w:val="21"/>
              </w:rPr>
              <w:t>500(含)-1000(含)平方米</w:t>
            </w:r>
          </w:p>
        </w:tc>
        <w:tc>
          <w:tcPr>
            <w:tcW w:w="2552" w:type="dxa"/>
            <w:tcBorders>
              <w:top w:val="single" w:color="auto" w:sz="4" w:space="0"/>
              <w:left w:val="nil"/>
              <w:bottom w:val="single" w:color="auto" w:sz="4" w:space="0"/>
              <w:right w:val="single" w:color="auto" w:sz="4" w:space="0"/>
            </w:tcBorders>
            <w:vAlign w:val="center"/>
          </w:tcPr>
          <w:p>
            <w:pPr>
              <w:spacing w:line="320" w:lineRule="exact"/>
              <w:rPr>
                <w:rFonts w:ascii="仿宋_GB2312" w:hAnsi="Calibri" w:eastAsia="仿宋_GB2312" w:cs="黑体"/>
                <w:szCs w:val="21"/>
              </w:rPr>
            </w:pPr>
            <w:r>
              <w:rPr>
                <w:rFonts w:hint="eastAsia" w:ascii="仿宋_GB2312" w:hAnsi="Calibri" w:eastAsia="仿宋_GB2312" w:cs="黑体"/>
                <w:szCs w:val="21"/>
              </w:rPr>
              <w:t>不少于7项。其中基本服务功能不少于4项实体业态。</w:t>
            </w:r>
          </w:p>
        </w:tc>
        <w:tc>
          <w:tcPr>
            <w:tcW w:w="3118" w:type="dxa"/>
            <w:tcBorders>
              <w:top w:val="single" w:color="auto" w:sz="4" w:space="0"/>
              <w:left w:val="nil"/>
              <w:right w:val="single" w:color="auto" w:sz="4" w:space="0"/>
            </w:tcBorders>
            <w:vAlign w:val="center"/>
          </w:tcPr>
          <w:p>
            <w:pPr>
              <w:spacing w:line="320" w:lineRule="exact"/>
              <w:rPr>
                <w:rFonts w:asciiTheme="minorHAnsi" w:hAnsiTheme="minorHAnsi" w:eastAsiaTheme="minorEastAsia" w:cstheme="minorBidi"/>
              </w:rPr>
            </w:pPr>
            <w:r>
              <w:rPr>
                <w:rFonts w:hint="eastAsia" w:ascii="仿宋_GB2312" w:hAnsi="Calibri" w:eastAsia="仿宋_GB2312" w:cs="黑体"/>
                <w:szCs w:val="21"/>
              </w:rPr>
              <w:t>优先支持能提供电话订购，网络平台线上服务和配送到户服务。</w:t>
            </w:r>
          </w:p>
        </w:tc>
        <w:tc>
          <w:tcPr>
            <w:tcW w:w="1908" w:type="dxa"/>
            <w:gridSpan w:val="2"/>
            <w:vMerge w:val="restart"/>
            <w:tcBorders>
              <w:top w:val="single" w:color="auto" w:sz="4" w:space="0"/>
              <w:left w:val="nil"/>
              <w:right w:val="single" w:color="auto" w:sz="4" w:space="0"/>
            </w:tcBorders>
            <w:vAlign w:val="center"/>
          </w:tcPr>
          <w:p>
            <w:pPr>
              <w:spacing w:line="320" w:lineRule="exact"/>
              <w:rPr>
                <w:rFonts w:asciiTheme="minorHAnsi" w:hAnsiTheme="minorHAnsi" w:eastAsiaTheme="minorEastAsia" w:cstheme="minorBidi"/>
              </w:rPr>
            </w:pPr>
            <w:r>
              <w:rPr>
                <w:rFonts w:hint="eastAsia" w:ascii="仿宋_GB2312" w:hAnsi="Calibri" w:eastAsia="仿宋_GB2312" w:cs="黑体"/>
                <w:szCs w:val="21"/>
              </w:rPr>
              <w:t>对所在街道生活性服务业规划明确要求，或由传统农贸市场、大众餐饮或商超等提升改造为百姓生活服务中心的，必须相应具备菜篮子、便民早餐或便利店（超市）服务功能。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90" w:type="dxa"/>
            <w:tcBorders>
              <w:top w:val="nil"/>
              <w:left w:val="single" w:color="auto" w:sz="4" w:space="0"/>
              <w:bottom w:val="single" w:color="auto" w:sz="4" w:space="0"/>
              <w:right w:val="single" w:color="auto" w:sz="4" w:space="0"/>
            </w:tcBorders>
            <w:vAlign w:val="center"/>
          </w:tcPr>
          <w:p>
            <w:pPr>
              <w:spacing w:line="480" w:lineRule="exact"/>
              <w:jc w:val="left"/>
              <w:rPr>
                <w:rFonts w:ascii="仿宋_GB2312" w:hAnsi="Calibri" w:eastAsia="仿宋_GB2312" w:cs="黑体"/>
                <w:b/>
                <w:szCs w:val="21"/>
              </w:rPr>
            </w:pPr>
            <w:r>
              <w:rPr>
                <w:rFonts w:hint="eastAsia" w:ascii="仿宋_GB2312" w:hAnsi="Calibri" w:eastAsia="仿宋_GB2312" w:cs="黑体"/>
                <w:b/>
                <w:szCs w:val="21"/>
              </w:rPr>
              <w:t>二级</w:t>
            </w:r>
          </w:p>
        </w:tc>
        <w:tc>
          <w:tcPr>
            <w:tcW w:w="1985" w:type="dxa"/>
            <w:tcBorders>
              <w:top w:val="single" w:color="auto" w:sz="4" w:space="0"/>
              <w:left w:val="nil"/>
              <w:bottom w:val="single" w:color="auto" w:sz="4" w:space="0"/>
              <w:right w:val="single" w:color="auto" w:sz="4" w:space="0"/>
            </w:tcBorders>
            <w:vAlign w:val="center"/>
          </w:tcPr>
          <w:p>
            <w:pPr>
              <w:spacing w:line="320" w:lineRule="exact"/>
              <w:rPr>
                <w:rFonts w:ascii="仿宋_GB2312" w:hAnsi="Calibri" w:eastAsia="仿宋_GB2312" w:cs="黑体"/>
                <w:szCs w:val="21"/>
              </w:rPr>
            </w:pPr>
            <w:r>
              <w:rPr>
                <w:rFonts w:hint="eastAsia" w:ascii="仿宋_GB2312" w:hAnsi="Calibri" w:eastAsia="仿宋_GB2312" w:cs="黑体"/>
                <w:szCs w:val="21"/>
              </w:rPr>
              <w:t>1000-2000(含)平方米</w:t>
            </w:r>
          </w:p>
        </w:tc>
        <w:tc>
          <w:tcPr>
            <w:tcW w:w="2552" w:type="dxa"/>
            <w:tcBorders>
              <w:top w:val="single" w:color="auto" w:sz="4" w:space="0"/>
              <w:left w:val="nil"/>
              <w:bottom w:val="single" w:color="auto" w:sz="4" w:space="0"/>
              <w:right w:val="single" w:color="auto" w:sz="4" w:space="0"/>
            </w:tcBorders>
            <w:vAlign w:val="center"/>
          </w:tcPr>
          <w:p>
            <w:pPr>
              <w:spacing w:line="320" w:lineRule="exact"/>
              <w:rPr>
                <w:rFonts w:asciiTheme="minorHAnsi" w:hAnsiTheme="minorHAnsi" w:eastAsiaTheme="minorEastAsia" w:cstheme="minorBidi"/>
              </w:rPr>
            </w:pPr>
            <w:r>
              <w:rPr>
                <w:rFonts w:hint="eastAsia" w:ascii="仿宋_GB2312" w:hAnsi="Calibri" w:eastAsia="仿宋_GB2312" w:cs="黑体"/>
                <w:szCs w:val="21"/>
              </w:rPr>
              <w:t>不少于9项。其中基本服务功能不少于6项实体业态。</w:t>
            </w:r>
          </w:p>
        </w:tc>
        <w:tc>
          <w:tcPr>
            <w:tcW w:w="3118" w:type="dxa"/>
            <w:tcBorders>
              <w:top w:val="single" w:color="auto" w:sz="4" w:space="0"/>
              <w:left w:val="nil"/>
              <w:right w:val="single" w:color="auto" w:sz="4" w:space="0"/>
            </w:tcBorders>
            <w:vAlign w:val="center"/>
          </w:tcPr>
          <w:p>
            <w:pPr>
              <w:spacing w:line="320" w:lineRule="exact"/>
              <w:rPr>
                <w:rFonts w:asciiTheme="minorHAnsi" w:hAnsiTheme="minorHAnsi" w:eastAsiaTheme="minorEastAsia" w:cstheme="minorBidi"/>
              </w:rPr>
            </w:pPr>
            <w:r>
              <w:rPr>
                <w:rFonts w:hint="eastAsia" w:ascii="仿宋_GB2312" w:hAnsi="Calibri" w:eastAsia="仿宋_GB2312" w:cs="黑体"/>
                <w:szCs w:val="21"/>
              </w:rPr>
              <w:t>优先支持能提供电话订购，网络平台线上服务，配送到户服务。</w:t>
            </w:r>
          </w:p>
        </w:tc>
        <w:tc>
          <w:tcPr>
            <w:tcW w:w="1908" w:type="dxa"/>
            <w:gridSpan w:val="2"/>
            <w:vMerge w:val="continue"/>
            <w:tcBorders>
              <w:left w:val="nil"/>
              <w:right w:val="single" w:color="auto" w:sz="4" w:space="0"/>
            </w:tcBorders>
            <w:vAlign w:val="center"/>
          </w:tcPr>
          <w:p>
            <w:pPr>
              <w:spacing w:line="480" w:lineRule="exact"/>
              <w:jc w:val="center"/>
              <w:rPr>
                <w:rFonts w:ascii="仿宋_GB2312" w:hAnsi="仿宋" w:eastAsia="仿宋_GB2312"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90" w:type="dxa"/>
            <w:tcBorders>
              <w:top w:val="nil"/>
              <w:left w:val="single" w:color="auto" w:sz="4" w:space="0"/>
              <w:bottom w:val="single" w:color="auto" w:sz="4" w:space="0"/>
              <w:right w:val="single" w:color="auto" w:sz="4" w:space="0"/>
            </w:tcBorders>
            <w:vAlign w:val="center"/>
          </w:tcPr>
          <w:p>
            <w:pPr>
              <w:spacing w:line="480" w:lineRule="exact"/>
              <w:jc w:val="left"/>
              <w:rPr>
                <w:rFonts w:ascii="仿宋_GB2312" w:hAnsi="Calibri" w:eastAsia="仿宋_GB2312" w:cs="黑体"/>
                <w:b/>
                <w:szCs w:val="21"/>
              </w:rPr>
            </w:pPr>
            <w:r>
              <w:rPr>
                <w:rFonts w:hint="eastAsia" w:ascii="仿宋_GB2312" w:hAnsi="Calibri" w:eastAsia="仿宋_GB2312" w:cs="黑体"/>
                <w:b/>
                <w:szCs w:val="21"/>
              </w:rPr>
              <w:t>三级</w:t>
            </w:r>
          </w:p>
        </w:tc>
        <w:tc>
          <w:tcPr>
            <w:tcW w:w="1985" w:type="dxa"/>
            <w:tcBorders>
              <w:top w:val="single" w:color="auto" w:sz="4" w:space="0"/>
              <w:left w:val="nil"/>
              <w:bottom w:val="single" w:color="auto" w:sz="4" w:space="0"/>
              <w:right w:val="single" w:color="auto" w:sz="4" w:space="0"/>
            </w:tcBorders>
            <w:vAlign w:val="center"/>
          </w:tcPr>
          <w:p>
            <w:pPr>
              <w:spacing w:line="320" w:lineRule="exact"/>
              <w:rPr>
                <w:rFonts w:ascii="仿宋_GB2312" w:hAnsi="Calibri" w:eastAsia="仿宋_GB2312" w:cs="黑体"/>
                <w:szCs w:val="21"/>
              </w:rPr>
            </w:pPr>
            <w:r>
              <w:rPr>
                <w:rFonts w:hint="eastAsia" w:ascii="仿宋_GB2312" w:hAnsi="Calibri" w:eastAsia="仿宋_GB2312" w:cs="黑体"/>
                <w:szCs w:val="21"/>
              </w:rPr>
              <w:t>大于2000平方米</w:t>
            </w:r>
          </w:p>
        </w:tc>
        <w:tc>
          <w:tcPr>
            <w:tcW w:w="2552" w:type="dxa"/>
            <w:tcBorders>
              <w:top w:val="single" w:color="auto" w:sz="4" w:space="0"/>
              <w:left w:val="nil"/>
              <w:bottom w:val="single" w:color="auto" w:sz="4" w:space="0"/>
              <w:right w:val="single" w:color="auto" w:sz="4" w:space="0"/>
            </w:tcBorders>
            <w:vAlign w:val="center"/>
          </w:tcPr>
          <w:p>
            <w:pPr>
              <w:spacing w:line="320" w:lineRule="exact"/>
              <w:rPr>
                <w:rFonts w:ascii="仿宋_GB2312" w:hAnsi="Calibri" w:eastAsia="仿宋_GB2312" w:cs="黑体"/>
                <w:szCs w:val="21"/>
              </w:rPr>
            </w:pPr>
            <w:r>
              <w:rPr>
                <w:rFonts w:hint="eastAsia" w:ascii="仿宋_GB2312" w:hAnsi="Calibri" w:eastAsia="仿宋_GB2312" w:cs="黑体"/>
                <w:szCs w:val="21"/>
              </w:rPr>
              <w:t>不少于11项。其中基本服务功能不少于7项实体业态。</w:t>
            </w:r>
          </w:p>
        </w:tc>
        <w:tc>
          <w:tcPr>
            <w:tcW w:w="3118" w:type="dxa"/>
            <w:tcBorders>
              <w:top w:val="single" w:color="auto" w:sz="4" w:space="0"/>
              <w:left w:val="nil"/>
              <w:right w:val="single" w:color="auto" w:sz="4" w:space="0"/>
            </w:tcBorders>
            <w:vAlign w:val="center"/>
          </w:tcPr>
          <w:p>
            <w:pPr>
              <w:spacing w:line="320" w:lineRule="exact"/>
              <w:rPr>
                <w:rFonts w:ascii="仿宋_GB2312" w:hAnsi="Calibri" w:eastAsia="仿宋_GB2312" w:cs="黑体"/>
                <w:szCs w:val="21"/>
              </w:rPr>
            </w:pPr>
            <w:r>
              <w:rPr>
                <w:rFonts w:hint="eastAsia" w:ascii="仿宋_GB2312" w:hAnsi="Calibri" w:eastAsia="仿宋_GB2312" w:cs="黑体"/>
                <w:szCs w:val="21"/>
              </w:rPr>
              <w:t>优先支持能提供电话、网络平台线上以及手机移动终端(如app,微信)订购，配送到户服务。</w:t>
            </w:r>
          </w:p>
        </w:tc>
        <w:tc>
          <w:tcPr>
            <w:tcW w:w="1908" w:type="dxa"/>
            <w:gridSpan w:val="2"/>
            <w:vMerge w:val="continue"/>
            <w:tcBorders>
              <w:left w:val="nil"/>
              <w:right w:val="single" w:color="auto" w:sz="4" w:space="0"/>
            </w:tcBorders>
            <w:vAlign w:val="center"/>
          </w:tcPr>
          <w:p>
            <w:pPr>
              <w:spacing w:line="480" w:lineRule="exact"/>
              <w:jc w:val="center"/>
              <w:rPr>
                <w:rFonts w:ascii="仿宋_GB2312" w:hAnsi="仿宋" w:eastAsia="仿宋_GB2312" w:cs="仿宋"/>
                <w:sz w:val="30"/>
                <w:szCs w:val="30"/>
              </w:rPr>
            </w:pPr>
          </w:p>
        </w:tc>
      </w:tr>
    </w:tbl>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3、百姓生活服务中心的安全生产、环境卫生、公共秩序、公共设施、景观维护等方面管理制度健全，建立相关工作机制。</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（二）提升改造项目应达到的建设标准及运营标准：</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经相关部门同意，提升改造后应满足新建项目的所有标准，且改造前后提升效果较为明显。</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（三）百姓生活服务中心持续经营服务奖励项目</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依据《西城区百姓生活服务中心建设规范》，对百姓生活服务中心经营管理主体，按每年经济社会效益综合评定给予奖励。</w:t>
      </w:r>
    </w:p>
    <w:p>
      <w:pPr>
        <w:spacing w:line="480" w:lineRule="exact"/>
        <w:ind w:firstLine="640" w:firstLineChars="200"/>
        <w:rPr>
          <w:rFonts w:ascii="仿宋_GB2312" w:hAnsi="Calibri" w:eastAsia="仿宋_GB2312" w:cs="黑体"/>
          <w:color w:val="000000"/>
          <w:sz w:val="32"/>
          <w:szCs w:val="32"/>
        </w:rPr>
      </w:pPr>
      <w:r>
        <w:rPr>
          <w:rFonts w:hint="eastAsia" w:ascii="仿宋_GB2312" w:hAnsi="Calibri" w:eastAsia="仿宋_GB2312" w:cs="黑体"/>
          <w:sz w:val="32"/>
          <w:szCs w:val="32"/>
        </w:rPr>
        <w:t>持续经营满一年不满二年的按一年申</w:t>
      </w:r>
      <w:r>
        <w:rPr>
          <w:rFonts w:hint="eastAsia" w:ascii="仿宋_GB2312" w:hAnsi="Calibri" w:eastAsia="仿宋_GB2312" w:cs="黑体"/>
          <w:color w:val="000000"/>
          <w:sz w:val="32"/>
          <w:szCs w:val="32"/>
        </w:rPr>
        <w:t>请，</w:t>
      </w:r>
      <w:r>
        <w:rPr>
          <w:rFonts w:hint="eastAsia" w:ascii="仿宋_GB2312" w:hAnsi="Calibri" w:eastAsia="仿宋_GB2312" w:cs="黑体"/>
          <w:sz w:val="32"/>
          <w:szCs w:val="32"/>
        </w:rPr>
        <w:t>持续经营满二年不满三年的按二年申请(201</w:t>
      </w:r>
      <w:r>
        <w:rPr>
          <w:rFonts w:hint="eastAsia" w:ascii="仿宋_GB2312" w:hAnsi="Calibri" w:eastAsia="仿宋_GB2312" w:cs="黑体"/>
          <w:sz w:val="32"/>
          <w:szCs w:val="32"/>
          <w:lang w:val="en-US" w:eastAsia="zh-CN"/>
        </w:rPr>
        <w:t>9</w:t>
      </w:r>
      <w:r>
        <w:rPr>
          <w:rFonts w:hint="eastAsia" w:ascii="仿宋_GB2312" w:hAnsi="Calibri" w:eastAsia="仿宋_GB2312" w:cs="黑体"/>
          <w:sz w:val="32"/>
          <w:szCs w:val="32"/>
        </w:rPr>
        <w:t>年</w:t>
      </w:r>
      <w:r>
        <w:rPr>
          <w:rFonts w:hint="eastAsia" w:ascii="仿宋_GB2312" w:hAnsi="Calibri" w:eastAsia="仿宋_GB2312" w:cs="黑体"/>
          <w:sz w:val="32"/>
          <w:szCs w:val="32"/>
          <w:lang w:val="en-US" w:eastAsia="zh-CN"/>
        </w:rPr>
        <w:t>9</w:t>
      </w:r>
      <w:r>
        <w:rPr>
          <w:rFonts w:hint="eastAsia" w:ascii="仿宋_GB2312" w:hAnsi="Calibri" w:eastAsia="仿宋_GB2312" w:cs="黑体"/>
          <w:sz w:val="32"/>
          <w:szCs w:val="32"/>
        </w:rPr>
        <w:t>月1日以后开业的按此标准执行)。</w:t>
      </w:r>
    </w:p>
    <w:p>
      <w:pPr>
        <w:spacing w:line="480" w:lineRule="exact"/>
        <w:ind w:firstLine="640" w:firstLineChars="200"/>
        <w:rPr>
          <w:rFonts w:hint="eastAsia" w:ascii="仿宋_GB2312" w:hAnsi="Calibri" w:eastAsia="仿宋_GB2312" w:cs="黑体"/>
          <w:color w:val="000000"/>
          <w:sz w:val="32"/>
          <w:szCs w:val="32"/>
          <w:lang w:val="en-US" w:eastAsia="zh-CN"/>
        </w:rPr>
      </w:pPr>
      <w:r>
        <w:rPr>
          <w:rFonts w:hint="eastAsia" w:ascii="仿宋_GB2312" w:hAnsi="Calibri" w:eastAsia="仿宋_GB2312" w:cs="黑体"/>
          <w:color w:val="000000"/>
          <w:sz w:val="32"/>
          <w:szCs w:val="32"/>
        </w:rPr>
        <w:t>累计获得持续经营奖励原则不超过36个月</w:t>
      </w:r>
      <w:r>
        <w:rPr>
          <w:rFonts w:hint="eastAsia" w:ascii="仿宋_GB2312" w:hAnsi="Calibri" w:eastAsia="仿宋_GB2312" w:cs="黑体"/>
          <w:color w:val="000000"/>
          <w:sz w:val="32"/>
          <w:szCs w:val="32"/>
          <w:lang w:val="en-US" w:eastAsia="zh-CN"/>
        </w:rPr>
        <w:t>。</w:t>
      </w:r>
    </w:p>
    <w:p>
      <w:pPr>
        <w:spacing w:line="480" w:lineRule="exact"/>
        <w:ind w:firstLine="566" w:firstLineChars="177"/>
        <w:rPr>
          <w:rFonts w:ascii="黑体" w:hAnsi="黑体" w:eastAsia="黑体" w:cs="仿宋_GB2312"/>
          <w:color w:val="000000"/>
          <w:kern w:val="0"/>
          <w:sz w:val="32"/>
          <w:szCs w:val="32"/>
          <w:shd w:val="clear" w:color="auto" w:fill="FFFFFF"/>
        </w:rPr>
      </w:pPr>
      <w:r>
        <w:rPr>
          <w:rFonts w:hint="eastAsia" w:ascii="黑体" w:hAnsi="黑体" w:eastAsia="黑体" w:cs="仿宋_GB2312"/>
          <w:bCs/>
          <w:color w:val="000000"/>
          <w:sz w:val="32"/>
          <w:szCs w:val="32"/>
          <w:shd w:val="clear" w:color="auto" w:fill="FFFFFF"/>
        </w:rPr>
        <w:t>四、资金支持</w:t>
      </w:r>
      <w:bookmarkStart w:id="0" w:name="_GoBack"/>
      <w:bookmarkEnd w:id="0"/>
      <w:r>
        <w:rPr>
          <w:rFonts w:hint="eastAsia" w:ascii="黑体" w:hAnsi="黑体" w:eastAsia="黑体" w:cs="仿宋_GB2312"/>
          <w:bCs/>
          <w:color w:val="000000"/>
          <w:sz w:val="32"/>
          <w:szCs w:val="32"/>
          <w:shd w:val="clear" w:color="auto" w:fill="FFFFFF"/>
        </w:rPr>
        <w:t>原则及标准</w:t>
      </w:r>
    </w:p>
    <w:p>
      <w:pPr>
        <w:spacing w:line="480" w:lineRule="exact"/>
        <w:ind w:firstLine="640" w:firstLineChars="200"/>
        <w:rPr>
          <w:rFonts w:ascii="仿宋_GB2312" w:hAnsi="Calibri" w:eastAsia="仿宋_GB2312" w:cs="黑体"/>
          <w:color w:val="00B0F0"/>
          <w:sz w:val="32"/>
          <w:szCs w:val="32"/>
        </w:rPr>
      </w:pPr>
      <w:r>
        <w:rPr>
          <w:rFonts w:hint="eastAsia" w:ascii="仿宋_GB2312" w:hAnsi="Calibri" w:eastAsia="仿宋_GB2312" w:cs="黑体"/>
          <w:color w:val="000000"/>
          <w:sz w:val="32"/>
          <w:szCs w:val="32"/>
        </w:rPr>
        <w:t>1、已完工项目经验收合格后，对新建百姓生活服务中心给予项目装修及硬软件设备购置等建设支出给予支持，支持额不超过项目审定实际投资额的50%。其中，一级百姓服务中心补助金额最高不超过200万元；二级百姓服务中心补</w:t>
      </w:r>
      <w:r>
        <w:rPr>
          <w:rFonts w:hint="eastAsia" w:ascii="仿宋_GB2312" w:hAnsi="Calibri" w:eastAsia="仿宋_GB2312" w:cs="黑体"/>
          <w:sz w:val="32"/>
          <w:szCs w:val="32"/>
        </w:rPr>
        <w:t>助金额最高不超过300万元；三级百姓服务中心补助金额最高不超过400万元</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对已持续经营满3年的百姓生活服务中心，进行二次升级改造</w:t>
      </w:r>
      <w:r>
        <w:rPr>
          <w:rFonts w:hint="eastAsia" w:ascii="仿宋_GB2312" w:hAnsi="Calibri" w:eastAsia="仿宋_GB2312" w:cs="黑体"/>
          <w:color w:val="000000" w:themeColor="text1"/>
          <w:sz w:val="32"/>
          <w:szCs w:val="32"/>
          <w14:textFill>
            <w14:solidFill>
              <w14:schemeClr w14:val="tx1"/>
            </w14:solidFill>
          </w14:textFill>
        </w:rPr>
        <w:t>，经区商务局和所在街道认可的，给予</w:t>
      </w:r>
      <w:r>
        <w:rPr>
          <w:rFonts w:hint="eastAsia" w:ascii="仿宋_GB2312" w:hAnsi="Calibri" w:eastAsia="仿宋_GB2312" w:cs="黑体"/>
          <w:sz w:val="32"/>
          <w:szCs w:val="32"/>
        </w:rPr>
        <w:t>项目装修、建设等补贴，补助金额不得超过项目审定实际投资额的50%，且最高不超过100万元（特殊情况除外）。</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3、项目经第三方评审后，对百姓生活服务中心项目采取分阶段拨付资金的模式，支持比例为第一年拨付应补助金额的60%，第二年拨付应补助金额的20%，第三年拨付应补助金额的20%。</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第一年经验收合格后拨付应补助金额的60%；剩余两年，每年由经营企业提出申请，经区商务</w:t>
      </w:r>
      <w:r>
        <w:rPr>
          <w:rFonts w:hint="eastAsia" w:ascii="仿宋_GB2312" w:eastAsia="仿宋_GB2312"/>
          <w:color w:val="000000" w:themeColor="text1"/>
          <w:sz w:val="32"/>
          <w:szCs w:val="32"/>
          <w14:textFill>
            <w14:solidFill>
              <w14:schemeClr w14:val="tx1"/>
            </w14:solidFill>
          </w14:textFill>
        </w:rPr>
        <w:t>局联合街道等相关部门进</w:t>
      </w:r>
      <w:r>
        <w:rPr>
          <w:rFonts w:hint="eastAsia" w:ascii="仿宋_GB2312" w:eastAsia="仿宋_GB2312"/>
          <w:sz w:val="32"/>
          <w:szCs w:val="32"/>
        </w:rPr>
        <w:t>行现场验收，核实项目与申请时无业态重大变化的，给予拨付补助金额的20%；经核实项目与申请时有重大变化的，如网点停业、经营业态数量不达标等情况，需由经营方出具相关原因解释证明材料，经研究后决定处理办法。</w:t>
      </w:r>
    </w:p>
    <w:p>
      <w:pPr>
        <w:spacing w:line="480" w:lineRule="exact"/>
        <w:ind w:firstLine="640" w:firstLineChars="200"/>
        <w:rPr>
          <w:rFonts w:ascii="仿宋_GB2312" w:hAnsi="Calibri" w:eastAsia="仿宋_GB2312" w:cs="黑体"/>
          <w:sz w:val="32"/>
          <w:szCs w:val="32"/>
        </w:rPr>
      </w:pPr>
      <w:r>
        <w:rPr>
          <w:rFonts w:hint="eastAsia" w:ascii="仿宋_GB2312" w:hAnsi="Calibri" w:eastAsia="仿宋_GB2312" w:cs="黑体"/>
          <w:sz w:val="32"/>
          <w:szCs w:val="32"/>
        </w:rPr>
        <w:t>4、申请持续经营服务奖励的百姓生活服务中心项目，由第三方评估机构进行评审，具体评审办法按照评估评价体系标准。</w:t>
      </w:r>
    </w:p>
    <w:p>
      <w:pPr>
        <w:spacing w:line="480" w:lineRule="exact"/>
        <w:ind w:firstLine="640" w:firstLineChars="200"/>
        <w:rPr>
          <w:rFonts w:hint="eastAsia" w:ascii="仿宋_GB2312" w:hAnsi="Calibri" w:eastAsia="仿宋_GB2312" w:cs="黑体"/>
          <w:sz w:val="32"/>
          <w:szCs w:val="32"/>
        </w:rPr>
      </w:pPr>
      <w:r>
        <w:rPr>
          <w:rFonts w:hint="eastAsia" w:ascii="仿宋_GB2312" w:hAnsi="Calibri" w:eastAsia="仿宋_GB2312" w:cs="黑体"/>
          <w:sz w:val="32"/>
          <w:szCs w:val="32"/>
        </w:rPr>
        <w:t>5、持续经营奖励金额不超过项目申报经营场所租金的50%，最高租金限价为8元/</w:t>
      </w:r>
      <w:r>
        <w:rPr>
          <w:rFonts w:hint="eastAsia" w:ascii="宋体" w:hAnsi="宋体" w:cs="宋体"/>
          <w:sz w:val="32"/>
          <w:szCs w:val="32"/>
        </w:rPr>
        <w:t>㎡</w:t>
      </w:r>
      <w:r>
        <w:rPr>
          <w:rFonts w:hint="eastAsia" w:ascii="仿宋_GB2312" w:hAnsi="Calibri" w:eastAsia="仿宋_GB2312" w:cs="黑体"/>
          <w:sz w:val="32"/>
          <w:szCs w:val="32"/>
        </w:rPr>
        <w:t>/日，且奖励金额最高不超过135万元/年。</w:t>
      </w:r>
    </w:p>
    <w:p>
      <w:pPr>
        <w:spacing w:line="480" w:lineRule="exact"/>
        <w:ind w:firstLine="640" w:firstLineChars="200"/>
        <w:rPr>
          <w:rFonts w:hint="eastAsia" w:ascii="仿宋_GB2312" w:hAnsi="Calibri" w:eastAsia="仿宋_GB2312" w:cs="黑体"/>
          <w:sz w:val="32"/>
          <w:szCs w:val="32"/>
          <w:lang w:val="en-US" w:eastAsia="zh-CN"/>
        </w:rPr>
      </w:pPr>
      <w:r>
        <w:rPr>
          <w:rFonts w:hint="eastAsia" w:ascii="仿宋_GB2312" w:hAnsi="Calibri" w:eastAsia="仿宋_GB2312" w:cs="黑体"/>
          <w:sz w:val="32"/>
          <w:szCs w:val="32"/>
          <w:lang w:val="en-US" w:eastAsia="zh-CN"/>
        </w:rPr>
        <w:t>6.出现以下情况的企业，取消当年享受政府资金支持的资格。</w:t>
      </w:r>
    </w:p>
    <w:p>
      <w:pPr>
        <w:spacing w:line="480" w:lineRule="exact"/>
        <w:ind w:firstLine="640" w:firstLineChars="200"/>
        <w:rPr>
          <w:rFonts w:hint="default" w:ascii="仿宋_GB2312" w:hAnsi="Calibri" w:eastAsia="仿宋_GB2312" w:cs="黑体"/>
          <w:sz w:val="32"/>
          <w:szCs w:val="32"/>
          <w:lang w:val="en-US" w:eastAsia="zh-CN"/>
        </w:rPr>
      </w:pPr>
      <w:r>
        <w:rPr>
          <w:rFonts w:hint="eastAsia" w:ascii="仿宋_GB2312" w:hAnsi="Calibri" w:eastAsia="仿宋_GB2312" w:cs="黑体"/>
          <w:sz w:val="32"/>
          <w:szCs w:val="32"/>
          <w:lang w:val="en-US" w:eastAsia="zh-CN"/>
        </w:rPr>
        <w:t>（1）</w:t>
      </w:r>
      <w:r>
        <w:rPr>
          <w:rFonts w:hint="eastAsia" w:ascii="仿宋_GB2312" w:hAnsi="宋体" w:eastAsia="仿宋_GB2312" w:cs="仿宋_GB2312"/>
          <w:color w:val="000000"/>
          <w:kern w:val="0"/>
          <w:sz w:val="32"/>
          <w:szCs w:val="32"/>
        </w:rPr>
        <w:t>项目投资</w:t>
      </w:r>
      <w:r>
        <w:rPr>
          <w:rFonts w:hint="eastAsia" w:ascii="仿宋_GB2312" w:hAnsi="宋体" w:eastAsia="仿宋_GB2312" w:cs="仿宋_GB2312"/>
          <w:color w:val="000000"/>
          <w:kern w:val="0"/>
          <w:sz w:val="32"/>
          <w:szCs w:val="32"/>
          <w:lang w:eastAsia="zh-CN"/>
        </w:rPr>
        <w:t>由</w:t>
      </w:r>
      <w:r>
        <w:rPr>
          <w:rFonts w:hint="eastAsia" w:ascii="仿宋_GB2312" w:hAnsi="宋体" w:eastAsia="仿宋_GB2312" w:cs="仿宋_GB2312"/>
          <w:color w:val="000000"/>
          <w:kern w:val="0"/>
          <w:sz w:val="32"/>
          <w:szCs w:val="32"/>
        </w:rPr>
        <w:t>第三方评审审减</w:t>
      </w:r>
      <w:r>
        <w:rPr>
          <w:rFonts w:hint="eastAsia" w:ascii="仿宋_GB2312" w:hAnsi="宋体" w:eastAsia="仿宋_GB2312" w:cs="仿宋_GB2312"/>
          <w:color w:val="000000"/>
          <w:kern w:val="0"/>
          <w:sz w:val="32"/>
          <w:szCs w:val="32"/>
          <w:lang w:eastAsia="zh-CN"/>
        </w:rPr>
        <w:t>额</w:t>
      </w:r>
      <w:r>
        <w:rPr>
          <w:rFonts w:hint="eastAsia" w:ascii="仿宋_GB2312" w:hAnsi="宋体" w:eastAsia="仿宋_GB2312" w:cs="仿宋_GB2312"/>
          <w:color w:val="000000"/>
          <w:kern w:val="0"/>
          <w:sz w:val="32"/>
          <w:szCs w:val="32"/>
        </w:rPr>
        <w:t>超过20%的企业</w:t>
      </w:r>
      <w:r>
        <w:rPr>
          <w:rFonts w:hint="eastAsia" w:ascii="仿宋_GB2312" w:hAnsi="Calibri" w:eastAsia="仿宋_GB2312" w:cs="黑体"/>
          <w:sz w:val="32"/>
          <w:szCs w:val="32"/>
          <w:lang w:val="en-US" w:eastAsia="zh-CN"/>
        </w:rPr>
        <w:t>。</w:t>
      </w:r>
    </w:p>
    <w:p>
      <w:pPr>
        <w:spacing w:line="480" w:lineRule="exact"/>
        <w:ind w:firstLine="640" w:firstLineChars="200"/>
        <w:rPr>
          <w:rFonts w:hint="eastAsia" w:ascii="仿宋_GB2312" w:hAnsi="Calibri" w:eastAsia="仿宋_GB2312" w:cs="黑体"/>
          <w:sz w:val="32"/>
          <w:szCs w:val="32"/>
          <w:lang w:val="en-US" w:eastAsia="zh-CN"/>
        </w:rPr>
      </w:pPr>
      <w:r>
        <w:rPr>
          <w:rFonts w:hint="eastAsia" w:ascii="仿宋_GB2312" w:hAnsi="Calibri" w:eastAsia="仿宋_GB2312" w:cs="黑体"/>
          <w:sz w:val="32"/>
          <w:szCs w:val="32"/>
          <w:lang w:val="en-US" w:eastAsia="zh-CN"/>
        </w:rPr>
        <w:t>（2）不诚信经营，当年被相关部门列入黑名单的企业。</w:t>
      </w:r>
    </w:p>
    <w:p>
      <w:pPr>
        <w:spacing w:line="480" w:lineRule="exact"/>
        <w:ind w:firstLine="640" w:firstLineChars="200"/>
        <w:rPr>
          <w:rFonts w:hint="eastAsia" w:ascii="仿宋_GB2312" w:hAnsi="Calibri" w:eastAsia="仿宋_GB2312" w:cs="黑体"/>
          <w:sz w:val="32"/>
          <w:szCs w:val="32"/>
          <w:lang w:val="en-US" w:eastAsia="zh-CN"/>
        </w:rPr>
      </w:pPr>
      <w:r>
        <w:rPr>
          <w:rFonts w:hint="eastAsia" w:ascii="仿宋_GB2312" w:hAnsi="Calibri" w:eastAsia="仿宋_GB2312" w:cs="黑体"/>
          <w:sz w:val="32"/>
          <w:szCs w:val="32"/>
          <w:lang w:val="en-US" w:eastAsia="zh-CN"/>
        </w:rPr>
        <w:t>7.出现以下情况的企业，永久取消享受政府资金支持的资格。</w:t>
      </w:r>
    </w:p>
    <w:p>
      <w:pPr>
        <w:spacing w:line="480" w:lineRule="exact"/>
        <w:ind w:firstLine="640" w:firstLineChars="200"/>
        <w:rPr>
          <w:rFonts w:hint="default" w:ascii="仿宋_GB2312" w:hAnsi="Calibri" w:eastAsia="仿宋_GB2312" w:cs="黑体"/>
          <w:sz w:val="32"/>
          <w:szCs w:val="32"/>
          <w:lang w:val="en-US" w:eastAsia="zh-CN"/>
        </w:rPr>
      </w:pPr>
      <w:r>
        <w:rPr>
          <w:rFonts w:hint="eastAsia" w:ascii="仿宋_GB2312" w:hAnsi="Calibri" w:eastAsia="仿宋_GB2312" w:cs="黑体"/>
          <w:sz w:val="32"/>
          <w:szCs w:val="32"/>
          <w:lang w:val="en-US" w:eastAsia="zh-CN"/>
        </w:rPr>
        <w:t>（1）经评审公司评审认定虚报、多报施工工程金额，且金额超过10万元的企业。</w:t>
      </w:r>
    </w:p>
    <w:p>
      <w:pPr>
        <w:spacing w:line="480" w:lineRule="exact"/>
        <w:ind w:firstLine="640" w:firstLineChars="200"/>
        <w:rPr>
          <w:rFonts w:ascii="仿宋_GB2312" w:hAnsi="Calibri" w:eastAsia="仿宋_GB2312" w:cs="黑体"/>
          <w:sz w:val="30"/>
          <w:szCs w:val="30"/>
        </w:rPr>
      </w:pPr>
      <w:r>
        <w:rPr>
          <w:rFonts w:hint="eastAsia" w:ascii="仿宋_GB2312" w:hAnsi="Calibri" w:eastAsia="仿宋_GB2312" w:cs="黑体"/>
          <w:sz w:val="32"/>
          <w:szCs w:val="32"/>
          <w:lang w:val="en-US" w:eastAsia="zh-CN"/>
        </w:rPr>
        <w:t>（2）提供的评审票据出现假发票，且数额达到1万元以上的企业。</w:t>
      </w:r>
    </w:p>
    <w:p>
      <w:pPr>
        <w:spacing w:line="480" w:lineRule="exact"/>
        <w:rPr>
          <w:rFonts w:ascii="仿宋_GB2312" w:hAnsi="Calibri" w:eastAsia="仿宋_GB2312" w:cs="黑体"/>
          <w:sz w:val="30"/>
          <w:szCs w:val="30"/>
        </w:rPr>
        <w:sectPr>
          <w:pgSz w:w="11906" w:h="16838"/>
          <w:pgMar w:top="1440" w:right="1800" w:bottom="1440" w:left="1800" w:header="851" w:footer="992" w:gutter="0"/>
          <w:cols w:space="425" w:num="1"/>
          <w:docGrid w:type="lines" w:linePitch="312" w:charSpace="0"/>
        </w:sectPr>
      </w:pPr>
    </w:p>
    <w:tbl>
      <w:tblPr>
        <w:tblStyle w:val="4"/>
        <w:tblW w:w="139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24"/>
        <w:gridCol w:w="1418"/>
        <w:gridCol w:w="5670"/>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rPr>
        <w:tc>
          <w:tcPr>
            <w:tcW w:w="13907" w:type="dxa"/>
            <w:gridSpan w:val="4"/>
            <w:tcBorders>
              <w:top w:val="nil"/>
              <w:left w:val="nil"/>
              <w:right w:val="nil"/>
            </w:tcBorders>
            <w:vAlign w:val="center"/>
          </w:tcPr>
          <w:p>
            <w:pPr>
              <w:spacing w:line="600" w:lineRule="exact"/>
              <w:rPr>
                <w:rFonts w:ascii="仿宋_GB2312" w:hAnsi="Calibri" w:eastAsia="仿宋_GB2312" w:cs="黑体"/>
                <w:sz w:val="30"/>
                <w:szCs w:val="30"/>
              </w:rPr>
            </w:pPr>
            <w:r>
              <w:rPr>
                <w:rFonts w:hint="eastAsia" w:ascii="仿宋_GB2312" w:hAnsi="Calibri" w:eastAsia="仿宋_GB2312" w:cs="黑体"/>
                <w:sz w:val="30"/>
                <w:szCs w:val="30"/>
              </w:rPr>
              <w:t>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6" w:hRule="atLeast"/>
        </w:trPr>
        <w:tc>
          <w:tcPr>
            <w:tcW w:w="724"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序号</w:t>
            </w:r>
          </w:p>
        </w:tc>
        <w:tc>
          <w:tcPr>
            <w:tcW w:w="1418"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类别</w:t>
            </w:r>
          </w:p>
        </w:tc>
        <w:tc>
          <w:tcPr>
            <w:tcW w:w="5670"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项目标准</w:t>
            </w:r>
          </w:p>
        </w:tc>
        <w:tc>
          <w:tcPr>
            <w:tcW w:w="6095"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支持标准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4" w:hRule="atLeast"/>
        </w:trPr>
        <w:tc>
          <w:tcPr>
            <w:tcW w:w="724" w:type="dxa"/>
            <w:vAlign w:val="center"/>
          </w:tcPr>
          <w:p>
            <w:pPr>
              <w:spacing w:line="600" w:lineRule="exact"/>
              <w:jc w:val="center"/>
              <w:rPr>
                <w:rFonts w:ascii="仿宋_GB2312" w:hAnsi="Calibri" w:eastAsia="仿宋_GB2312" w:cs="黑体"/>
                <w:b/>
                <w:szCs w:val="21"/>
              </w:rPr>
            </w:pPr>
            <w:r>
              <w:rPr>
                <w:rFonts w:hint="eastAsia" w:ascii="仿宋_GB2312" w:hAnsi="Calibri" w:eastAsia="仿宋_GB2312" w:cs="黑体"/>
                <w:b/>
                <w:szCs w:val="21"/>
              </w:rPr>
              <w:t>1</w:t>
            </w:r>
          </w:p>
        </w:tc>
        <w:tc>
          <w:tcPr>
            <w:tcW w:w="1418" w:type="dxa"/>
            <w:vAlign w:val="center"/>
          </w:tcPr>
          <w:p>
            <w:pPr>
              <w:spacing w:line="600" w:lineRule="exact"/>
              <w:jc w:val="center"/>
              <w:rPr>
                <w:rFonts w:ascii="仿宋_GB2312" w:hAnsi="Calibri" w:eastAsia="仿宋_GB2312" w:cs="黑体"/>
                <w:szCs w:val="21"/>
              </w:rPr>
            </w:pPr>
            <w:r>
              <w:rPr>
                <w:rFonts w:hint="eastAsia" w:ascii="仿宋_GB2312" w:hAnsi="Calibri" w:eastAsia="仿宋_GB2312" w:cs="黑体"/>
                <w:szCs w:val="21"/>
              </w:rPr>
              <w:t>新建和规范提升</w:t>
            </w:r>
          </w:p>
        </w:tc>
        <w:tc>
          <w:tcPr>
            <w:tcW w:w="5670" w:type="dxa"/>
          </w:tcPr>
          <w:p>
            <w:pPr>
              <w:rPr>
                <w:rFonts w:ascii="仿宋_GB2312" w:hAnsi="Calibri" w:eastAsia="仿宋_GB2312" w:cs="黑体"/>
                <w:szCs w:val="21"/>
              </w:rPr>
            </w:pPr>
            <w:r>
              <w:rPr>
                <w:rFonts w:hint="eastAsia" w:ascii="仿宋_GB2312" w:hAnsi="Calibri" w:eastAsia="仿宋_GB2312" w:cs="黑体"/>
                <w:szCs w:val="21"/>
              </w:rPr>
              <w:t>一、新建项目</w:t>
            </w:r>
          </w:p>
          <w:p>
            <w:pPr>
              <w:rPr>
                <w:rFonts w:ascii="仿宋_GB2312" w:hAnsi="Calibri" w:eastAsia="仿宋_GB2312" w:cs="黑体"/>
                <w:szCs w:val="21"/>
              </w:rPr>
            </w:pPr>
            <w:r>
              <w:rPr>
                <w:rFonts w:hint="eastAsia" w:ascii="仿宋_GB2312" w:hAnsi="Calibri" w:eastAsia="仿宋_GB2312" w:cs="黑体"/>
                <w:szCs w:val="21"/>
              </w:rPr>
              <w:t>1.符合《西城区百姓生活服务中心建设规范》。</w:t>
            </w:r>
          </w:p>
          <w:p>
            <w:pPr>
              <w:rPr>
                <w:rFonts w:ascii="仿宋_GB2312" w:hAnsi="Calibri" w:eastAsia="仿宋_GB2312" w:cs="黑体"/>
                <w:szCs w:val="21"/>
              </w:rPr>
            </w:pPr>
            <w:r>
              <w:rPr>
                <w:rFonts w:hint="eastAsia" w:ascii="仿宋_GB2312" w:hAnsi="Calibri" w:eastAsia="仿宋_GB2312" w:cs="黑体"/>
                <w:szCs w:val="21"/>
              </w:rPr>
              <w:t>2.符合街道生活性服务业整体规划，符合便利化、规范化、品牌化、连锁化、集约化和智能化的项目。</w:t>
            </w:r>
          </w:p>
          <w:p>
            <w:pPr>
              <w:rPr>
                <w:rFonts w:ascii="仿宋_GB2312" w:hAnsi="Calibri" w:eastAsia="仿宋_GB2312" w:cs="黑体"/>
                <w:szCs w:val="21"/>
              </w:rPr>
            </w:pPr>
            <w:r>
              <w:rPr>
                <w:rFonts w:hint="eastAsia" w:ascii="仿宋_GB2312" w:hAnsi="Calibri" w:eastAsia="仿宋_GB2312" w:cs="黑体"/>
                <w:szCs w:val="21"/>
              </w:rPr>
              <w:t>3.《营业执照》等相关证照齐全、有效，相关建设或改造投资票据齐全、有效。</w:t>
            </w:r>
          </w:p>
          <w:p>
            <w:pPr>
              <w:rPr>
                <w:rFonts w:ascii="仿宋_GB2312" w:hAnsi="Calibri" w:eastAsia="仿宋_GB2312" w:cs="黑体"/>
                <w:szCs w:val="21"/>
              </w:rPr>
            </w:pPr>
            <w:r>
              <w:rPr>
                <w:rFonts w:hint="eastAsia" w:ascii="仿宋_GB2312" w:hAnsi="Calibri" w:eastAsia="仿宋_GB2312" w:cs="黑体"/>
                <w:szCs w:val="21"/>
              </w:rPr>
              <w:t>二、规范提升项目</w:t>
            </w:r>
          </w:p>
          <w:p>
            <w:pPr>
              <w:rPr>
                <w:rFonts w:ascii="仿宋_GB2312" w:hAnsi="Calibri" w:eastAsia="仿宋_GB2312" w:cs="黑体"/>
                <w:szCs w:val="21"/>
              </w:rPr>
            </w:pPr>
            <w:r>
              <w:rPr>
                <w:rFonts w:hint="eastAsia" w:ascii="仿宋_GB2312" w:hAnsi="Calibri" w:eastAsia="仿宋_GB2312" w:cs="黑体"/>
                <w:szCs w:val="21"/>
              </w:rPr>
              <w:t>1.持续经营满三年的；</w:t>
            </w:r>
          </w:p>
          <w:p>
            <w:pPr>
              <w:rPr>
                <w:rFonts w:ascii="仿宋_GB2312" w:hAnsi="Calibri" w:eastAsia="仿宋_GB2312" w:cs="黑体"/>
                <w:szCs w:val="21"/>
              </w:rPr>
            </w:pPr>
            <w:r>
              <w:rPr>
                <w:rFonts w:hint="eastAsia" w:ascii="仿宋_GB2312" w:hAnsi="Calibri" w:eastAsia="仿宋_GB2312" w:cs="黑体"/>
                <w:szCs w:val="21"/>
              </w:rPr>
              <w:t>2.经相关部门同意，且相关投资票据齐全有效。</w:t>
            </w:r>
          </w:p>
          <w:p>
            <w:pPr>
              <w:rPr>
                <w:rFonts w:ascii="仿宋_GB2312" w:hAnsi="Calibri" w:eastAsia="仿宋_GB2312" w:cs="黑体"/>
                <w:szCs w:val="21"/>
              </w:rPr>
            </w:pPr>
            <w:r>
              <w:rPr>
                <w:rFonts w:hint="eastAsia" w:ascii="仿宋_GB2312" w:hAnsi="Calibri" w:eastAsia="仿宋_GB2312" w:cs="黑体"/>
                <w:szCs w:val="21"/>
              </w:rPr>
              <w:t>3.项目提升后，在符合《西城区百姓生活服务中心建设规范》相应分级标准前提下给予规范化发展资金支持。</w:t>
            </w:r>
          </w:p>
          <w:p>
            <w:pPr>
              <w:spacing w:line="600" w:lineRule="exact"/>
              <w:rPr>
                <w:rFonts w:ascii="仿宋_GB2312" w:hAnsi="Calibri" w:eastAsia="仿宋_GB2312" w:cs="黑体"/>
                <w:szCs w:val="21"/>
              </w:rPr>
            </w:pPr>
          </w:p>
        </w:tc>
        <w:tc>
          <w:tcPr>
            <w:tcW w:w="6095" w:type="dxa"/>
            <w:vAlign w:val="center"/>
          </w:tcPr>
          <w:p>
            <w:pPr>
              <w:rPr>
                <w:rFonts w:ascii="仿宋_GB2312" w:hAnsi="Calibri" w:eastAsia="仿宋_GB2312" w:cs="黑体"/>
                <w:szCs w:val="21"/>
              </w:rPr>
            </w:pPr>
            <w:r>
              <w:rPr>
                <w:rFonts w:hint="eastAsia" w:ascii="仿宋_GB2312" w:hAnsi="Calibri" w:eastAsia="仿宋_GB2312" w:cs="黑体"/>
                <w:b/>
                <w:szCs w:val="21"/>
              </w:rPr>
              <w:t>一</w:t>
            </w:r>
            <w:r>
              <w:rPr>
                <w:rFonts w:hint="eastAsia" w:ascii="仿宋_GB2312" w:hAnsi="Calibri" w:eastAsia="仿宋_GB2312" w:cs="黑体"/>
                <w:szCs w:val="21"/>
              </w:rPr>
              <w:t>、新建项目</w:t>
            </w:r>
          </w:p>
          <w:p>
            <w:pPr>
              <w:rPr>
                <w:rFonts w:ascii="仿宋_GB2312" w:hAnsi="Calibri" w:eastAsia="仿宋_GB2312" w:cs="黑体"/>
                <w:szCs w:val="21"/>
              </w:rPr>
            </w:pPr>
            <w:r>
              <w:rPr>
                <w:rFonts w:hint="eastAsia" w:ascii="仿宋_GB2312" w:hAnsi="Calibri" w:eastAsia="仿宋_GB2312" w:cs="黑体"/>
                <w:szCs w:val="21"/>
              </w:rPr>
              <w:t>给予项目装修及硬软件设备购置等建设支出给予补贴，补贴额不得超过项目总投资的50%。</w:t>
            </w:r>
          </w:p>
          <w:p>
            <w:pPr>
              <w:rPr>
                <w:rFonts w:ascii="仿宋_GB2312" w:hAnsi="Calibri" w:eastAsia="仿宋_GB2312" w:cs="黑体"/>
                <w:szCs w:val="21"/>
              </w:rPr>
            </w:pPr>
            <w:r>
              <w:rPr>
                <w:rFonts w:hint="eastAsia" w:ascii="仿宋_GB2312" w:hAnsi="Calibri" w:eastAsia="仿宋_GB2312" w:cs="黑体"/>
                <w:szCs w:val="21"/>
              </w:rPr>
              <w:t>1、百姓生活服务中心达到一级标准的，经营面积大于500㎡（含）且小于1000㎡（含）的给予不超过200万元的资金支持。</w:t>
            </w:r>
          </w:p>
          <w:p>
            <w:pPr>
              <w:rPr>
                <w:rFonts w:ascii="仿宋_GB2312" w:hAnsi="Calibri" w:eastAsia="仿宋_GB2312" w:cs="黑体"/>
                <w:szCs w:val="21"/>
              </w:rPr>
            </w:pPr>
            <w:r>
              <w:rPr>
                <w:rFonts w:hint="eastAsia" w:ascii="仿宋_GB2312" w:hAnsi="Calibri" w:eastAsia="仿宋_GB2312" w:cs="黑体"/>
                <w:szCs w:val="21"/>
              </w:rPr>
              <w:t>2、百姓生活服务中心达到二级标准的，经营面积在1000㎡至2000㎡（含）以下的给予不超过300万元的资金支持。</w:t>
            </w:r>
          </w:p>
          <w:p>
            <w:pPr>
              <w:rPr>
                <w:rFonts w:ascii="仿宋_GB2312" w:hAnsi="Calibri" w:eastAsia="仿宋_GB2312" w:cs="黑体"/>
                <w:szCs w:val="21"/>
              </w:rPr>
            </w:pPr>
            <w:r>
              <w:rPr>
                <w:rFonts w:hint="eastAsia" w:ascii="仿宋_GB2312" w:hAnsi="Calibri" w:eastAsia="仿宋_GB2312" w:cs="黑体"/>
                <w:szCs w:val="21"/>
              </w:rPr>
              <w:t>3、百姓生活服务中心达到三级标准的，经营面积在2000㎡以上的给予不超过400万元的资金支持。</w:t>
            </w:r>
          </w:p>
          <w:p>
            <w:pPr>
              <w:rPr>
                <w:rFonts w:ascii="仿宋_GB2312" w:hAnsi="Calibri" w:eastAsia="仿宋_GB2312" w:cs="黑体"/>
                <w:szCs w:val="21"/>
              </w:rPr>
            </w:pPr>
            <w:r>
              <w:rPr>
                <w:rFonts w:hint="eastAsia" w:ascii="仿宋_GB2312" w:hAnsi="Calibri" w:eastAsia="仿宋_GB2312" w:cs="黑体"/>
                <w:szCs w:val="21"/>
              </w:rPr>
              <w:t>二、规范提升项目</w:t>
            </w:r>
          </w:p>
          <w:p>
            <w:pPr>
              <w:rPr>
                <w:rFonts w:ascii="仿宋_GB2312" w:hAnsi="Calibri" w:eastAsia="仿宋_GB2312" w:cs="黑体"/>
                <w:szCs w:val="21"/>
              </w:rPr>
            </w:pPr>
            <w:r>
              <w:rPr>
                <w:rFonts w:hint="eastAsia" w:ascii="仿宋_GB2312" w:hAnsi="Calibri" w:eastAsia="仿宋_GB2312" w:cs="黑体"/>
                <w:szCs w:val="21"/>
              </w:rPr>
              <w:t>1. 对百姓生活服务中心进行二次改造升级的，给予项目装修、建设等补助，补助金额不得超过项目总投资的50%，且奖励金额最高不超过100万元。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15" w:hRule="atLeast"/>
        </w:trPr>
        <w:tc>
          <w:tcPr>
            <w:tcW w:w="724" w:type="dxa"/>
            <w:vAlign w:val="center"/>
          </w:tcPr>
          <w:p>
            <w:pPr>
              <w:spacing w:line="600" w:lineRule="exact"/>
              <w:jc w:val="center"/>
              <w:rPr>
                <w:rFonts w:ascii="仿宋_GB2312" w:hAnsi="Calibri" w:eastAsia="仿宋_GB2312" w:cs="黑体"/>
                <w:szCs w:val="21"/>
              </w:rPr>
            </w:pPr>
            <w:r>
              <w:rPr>
                <w:rFonts w:hint="eastAsia" w:ascii="仿宋_GB2312" w:hAnsi="Calibri" w:eastAsia="仿宋_GB2312" w:cs="黑体"/>
                <w:szCs w:val="21"/>
              </w:rPr>
              <w:t>2</w:t>
            </w:r>
          </w:p>
        </w:tc>
        <w:tc>
          <w:tcPr>
            <w:tcW w:w="1418" w:type="dxa"/>
            <w:vAlign w:val="center"/>
          </w:tcPr>
          <w:p>
            <w:pPr>
              <w:spacing w:line="600" w:lineRule="exact"/>
              <w:jc w:val="center"/>
              <w:rPr>
                <w:rFonts w:ascii="仿宋_GB2312" w:hAnsi="Calibri" w:eastAsia="仿宋_GB2312" w:cs="黑体"/>
                <w:szCs w:val="21"/>
              </w:rPr>
            </w:pPr>
            <w:r>
              <w:rPr>
                <w:rFonts w:hint="eastAsia" w:ascii="仿宋_GB2312" w:hAnsi="Calibri" w:eastAsia="仿宋_GB2312" w:cs="黑体"/>
                <w:szCs w:val="21"/>
              </w:rPr>
              <w:t>持续经营奖励</w:t>
            </w:r>
          </w:p>
        </w:tc>
        <w:tc>
          <w:tcPr>
            <w:tcW w:w="5670" w:type="dxa"/>
          </w:tcPr>
          <w:p>
            <w:pPr>
              <w:jc w:val="left"/>
              <w:rPr>
                <w:rFonts w:ascii="仿宋_GB2312" w:hAnsi="Calibri" w:eastAsia="仿宋_GB2312" w:cs="黑体"/>
                <w:szCs w:val="21"/>
              </w:rPr>
            </w:pPr>
            <w:r>
              <w:rPr>
                <w:rFonts w:hint="eastAsia" w:ascii="仿宋_GB2312" w:hAnsi="Calibri" w:eastAsia="仿宋_GB2312" w:cs="黑体"/>
                <w:szCs w:val="21"/>
              </w:rPr>
              <w:t>1.持续经营满一年不满二年的按一年申请，持续经营满二年不满三年的按二年申请(2017年1月1日以后开业的按此标准执行)。</w:t>
            </w:r>
          </w:p>
          <w:p>
            <w:pPr>
              <w:jc w:val="left"/>
              <w:rPr>
                <w:rFonts w:ascii="仿宋_GB2312" w:hAnsi="Calibri" w:eastAsia="仿宋_GB2312" w:cs="黑体"/>
                <w:szCs w:val="21"/>
              </w:rPr>
            </w:pPr>
            <w:r>
              <w:rPr>
                <w:rFonts w:hint="eastAsia" w:ascii="仿宋_GB2312" w:hAnsi="Calibri" w:eastAsia="仿宋_GB2312" w:cs="黑体"/>
                <w:szCs w:val="21"/>
              </w:rPr>
              <w:t>累计获得持续经营奖励原则上不超过36个月</w:t>
            </w:r>
          </w:p>
          <w:p>
            <w:pPr>
              <w:numPr>
                <w:ilvl w:val="0"/>
                <w:numId w:val="1"/>
              </w:numPr>
              <w:spacing w:line="600" w:lineRule="exact"/>
              <w:ind w:left="31"/>
              <w:rPr>
                <w:rFonts w:ascii="仿宋_GB2312" w:hAnsi="Calibri" w:eastAsia="仿宋_GB2312" w:cs="黑体"/>
                <w:szCs w:val="21"/>
              </w:rPr>
            </w:pPr>
          </w:p>
        </w:tc>
        <w:tc>
          <w:tcPr>
            <w:tcW w:w="6095" w:type="dxa"/>
            <w:vAlign w:val="center"/>
          </w:tcPr>
          <w:p>
            <w:pPr>
              <w:rPr>
                <w:rFonts w:ascii="仿宋_GB2312" w:hAnsi="Calibri" w:eastAsia="仿宋_GB2312" w:cs="黑体"/>
                <w:szCs w:val="21"/>
              </w:rPr>
            </w:pPr>
            <w:r>
              <w:rPr>
                <w:rFonts w:hint="eastAsia" w:ascii="仿宋_GB2312" w:hAnsi="Calibri" w:eastAsia="仿宋_GB2312" w:cs="黑体"/>
                <w:szCs w:val="21"/>
              </w:rPr>
              <w:t>1.对百姓生活服务中心经营管理主体，按每年经济社会效益综合评定给予奖励。</w:t>
            </w:r>
          </w:p>
          <w:p>
            <w:pPr>
              <w:rPr>
                <w:rFonts w:ascii="仿宋_GB2312" w:hAnsi="Calibri" w:eastAsia="仿宋_GB2312" w:cs="黑体"/>
                <w:szCs w:val="21"/>
              </w:rPr>
            </w:pPr>
            <w:r>
              <w:rPr>
                <w:rFonts w:hint="eastAsia" w:ascii="仿宋_GB2312" w:hAnsi="Calibri" w:eastAsia="仿宋_GB2312" w:cs="黑体"/>
                <w:szCs w:val="21"/>
              </w:rPr>
              <w:t>2.奖励资金不超过项目申报经营场所租金的50%，最高租金限价为8元/㎡/日，且最高不超过135万元/年。</w:t>
            </w:r>
          </w:p>
          <w:p>
            <w:pPr>
              <w:rPr>
                <w:rFonts w:ascii="仿宋_GB2312" w:hAnsi="Calibri" w:eastAsia="仿宋_GB2312" w:cs="黑体"/>
                <w:szCs w:val="21"/>
              </w:rPr>
            </w:pPr>
          </w:p>
        </w:tc>
      </w:tr>
    </w:tbl>
    <w:p>
      <w:pPr>
        <w:spacing w:line="480" w:lineRule="exact"/>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44D"/>
    <w:multiLevelType w:val="multilevel"/>
    <w:tmpl w:val="073A64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89"/>
    <w:rsid w:val="00013633"/>
    <w:rsid w:val="001B3A81"/>
    <w:rsid w:val="001D660B"/>
    <w:rsid w:val="00234FE9"/>
    <w:rsid w:val="003C2C26"/>
    <w:rsid w:val="005A5C89"/>
    <w:rsid w:val="006E5D02"/>
    <w:rsid w:val="007145C1"/>
    <w:rsid w:val="00730507"/>
    <w:rsid w:val="00BC639C"/>
    <w:rsid w:val="00C12E1E"/>
    <w:rsid w:val="00C70725"/>
    <w:rsid w:val="00DB63C4"/>
    <w:rsid w:val="0A05570C"/>
    <w:rsid w:val="1CDE04C9"/>
    <w:rsid w:val="28514AC5"/>
    <w:rsid w:val="34631D45"/>
    <w:rsid w:val="3E4175AC"/>
    <w:rsid w:val="40476C71"/>
    <w:rsid w:val="46653D62"/>
    <w:rsid w:val="54386EA6"/>
    <w:rsid w:val="580C60C9"/>
    <w:rsid w:val="585719FF"/>
    <w:rsid w:val="597F334B"/>
    <w:rsid w:val="67A2101C"/>
    <w:rsid w:val="7008391F"/>
    <w:rsid w:val="7551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CD3C5-EAB2-4398-9B8B-1FBA01CD6A86}">
  <ds:schemaRefs/>
</ds:datastoreItem>
</file>

<file path=docProps/app.xml><?xml version="1.0" encoding="utf-8"?>
<Properties xmlns="http://schemas.openxmlformats.org/officeDocument/2006/extended-properties" xmlns:vt="http://schemas.openxmlformats.org/officeDocument/2006/docPropsVTypes">
  <Template>Normal</Template>
  <Pages>6</Pages>
  <Words>454</Words>
  <Characters>2590</Characters>
  <Lines>21</Lines>
  <Paragraphs>6</Paragraphs>
  <TotalTime>8</TotalTime>
  <ScaleCrop>false</ScaleCrop>
  <LinksUpToDate>false</LinksUpToDate>
  <CharactersWithSpaces>3038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2019-11-04T04:25:00Z</dcterms:created>
  <dc:creator>lenovo</dc:creator>
  <cp:lastModifiedBy>Ace</cp:lastModifiedBy>
  <dcterms:modified xsi:type="dcterms:W3CDTF">2021-07-25T12:54:40Z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