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西城区20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年新建“第三空间”项目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申报指南（试行）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一、支持方向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以社区居民为主要服务对象，以满足社区居民日常生活服务需求为目标，在八类基本生活性服务业基础上，融合各类型服务业态，为居民提供社区交流休闲空间或社区服务活动场所，打造复合高效，具有商业性和公益性的服务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第三空间需按照民意立项，匹配居民实际需求建设，以包含基本便民服务功能为前提，搭载如老年之家、社区教育营地、社区“读书角”、“健康小屋”、“家庭健身房”、“社区客厅”、“社区服务小综合”等拓展服务功能，能够为居民提供舒适的、多样的交流休闲生活服务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二、支持内容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对符合相关法律、法规及行业标准规范的要求，于20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黑体"/>
          <w:sz w:val="32"/>
          <w:szCs w:val="32"/>
        </w:rPr>
        <w:t>年12月31日前完工并开业的新建“第三空间”项目给予支持。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三、项目要求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1、项目符合首都中心区城市建设规划要求，被所属街道认定符合本街道的生活性服务业规划布局，并经过民意立项。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2、项目位于居住区，具有固定营业场所，具有一定的人口规模，居民步行10-15分钟内可到达。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3、申报单位具有独立法人资格，能够统一招商、统一运营、统一管理、独立运作的优先。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4、项目需具有相关证照、票据与资质齐全有效。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5、便利化、规范化、品牌化、连锁化、集约化和智能化经营，具有良好的公共配套设施和经营环境。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6、同时符合百姓生活服务中心或社区型购物中心条件的项目，只可选择其中一类申报。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四、新建</w:t>
      </w:r>
      <w:r>
        <w:rPr>
          <w:rFonts w:hint="eastAsia" w:ascii="黑体" w:hAnsi="黑体" w:eastAsia="黑体" w:cs="仿宋"/>
          <w:bCs/>
          <w:sz w:val="32"/>
          <w:szCs w:val="32"/>
          <w:shd w:val="clear" w:color="auto" w:fill="FFFFFF"/>
        </w:rPr>
        <w:t>项目建设标准及运营标准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1、“第三空间”分等级建设与管理。按照建筑面积将“第三空间”分为四个等级，其中面积在500平方米以下的为一级，500(含)-1000(含)平方米的为二级，面积在1000-2000(含)平方米之间的为三级，面积大于2000平方米的为四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2、“第三空间”能够提供满足周边居民需求的下列便民服务功能，并符合街道生活性服务业规划与品质要求。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（1）基本便民服务功能：蔬菜零售、便民早餐、便利店、洗衣洗染（门店、洗衣代收点）、便民理发、家政服务、便民修理、末端配送、小物超市（专柜、专区、门店）等。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（2）扩展便民服务功能：即其他生活性服务业领域，包括居民和家庭服务、健康服务、养老服务、便民洗浴、便民储物</w:t>
      </w:r>
      <w:r>
        <w:rPr>
          <w:rFonts w:hint="eastAsia" w:ascii="仿宋_GB2312" w:hAnsi="Calibri" w:eastAsia="仿宋_GB2312" w:cs="黑体"/>
          <w:color w:val="00B0F0"/>
          <w:sz w:val="32"/>
          <w:szCs w:val="32"/>
        </w:rPr>
        <w:t>、</w:t>
      </w:r>
      <w:r>
        <w:rPr>
          <w:rFonts w:hint="eastAsia" w:ascii="仿宋_GB2312" w:hAnsi="Calibri" w:eastAsia="仿宋_GB2312" w:cs="黑体"/>
          <w:sz w:val="32"/>
          <w:szCs w:val="32"/>
        </w:rPr>
        <w:t>旅游服务、体育服务、文化服务、法律服务、零售服务、住宿餐饮服务、教育培训服务等。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黑体"/>
          <w:color w:val="FF0000"/>
          <w:sz w:val="30"/>
          <w:szCs w:val="30"/>
        </w:rPr>
      </w:pPr>
      <w:r>
        <w:rPr>
          <w:rFonts w:hint="eastAsia" w:ascii="仿宋_GB2312" w:hAnsi="Calibri" w:eastAsia="仿宋_GB2312" w:cs="黑体"/>
          <w:sz w:val="32"/>
          <w:szCs w:val="32"/>
        </w:rPr>
        <w:t>“第三空间”应达到的基本要求如下表：</w:t>
      </w:r>
      <w:r>
        <w:rPr>
          <w:rFonts w:ascii="仿宋_GB2312" w:hAnsi="Calibri" w:eastAsia="仿宋_GB2312" w:cs="黑体"/>
          <w:color w:val="FF0000"/>
          <w:sz w:val="30"/>
          <w:szCs w:val="30"/>
        </w:rPr>
        <w:t xml:space="preserve"> </w:t>
      </w:r>
    </w:p>
    <w:tbl>
      <w:tblPr>
        <w:tblStyle w:val="4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60"/>
        <w:gridCol w:w="2326"/>
        <w:gridCol w:w="1559"/>
        <w:gridCol w:w="1559"/>
        <w:gridCol w:w="1559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面 积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基本服务功能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基本便民服务功能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拓展服务功能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公共交流休闲功能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非盈利公益性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服务业态面积要求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Calibri" w:eastAsia="仿宋_GB2312" w:cs="黑体"/>
                <w:b/>
                <w:szCs w:val="21"/>
              </w:rPr>
              <w:t>一级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小于500平方米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不少于4项。其中基本服务功能不少于2项实体业态。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蔬菜零售、便民早餐、便利店、洗衣洗染（门店、洗衣代收点）、便民理发、家政服务、便民修理、末端配送、小物超市（专柜、专区、门店）等</w:t>
            </w:r>
          </w:p>
          <w:tbl>
            <w:tblPr>
              <w:tblStyle w:val="4"/>
              <w:tblW w:w="0" w:type="auto"/>
              <w:tblInd w:w="45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1" w:hRule="atLeast"/>
              </w:trPr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Theme="minorHAnsi" w:hAnsiTheme="minorHAnsi" w:eastAsiaTheme="minorEastAsia" w:cstheme="minorBidi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="仿宋_GB2312" w:hAnsi="Calibri" w:eastAsia="仿宋_GB2312" w:cs="黑体"/>
                <w:szCs w:val="30"/>
              </w:rPr>
              <w:t>居民和家庭服务、健康服务、养老服务、便民洗浴、便民储物、旅游服务、体育服务、文化服务、法律服务、零售服务、住宿餐饮服务、教育培训服务等。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黑体"/>
                <w:szCs w:val="30"/>
              </w:rPr>
            </w:pPr>
            <w:r>
              <w:rPr>
                <w:rFonts w:hint="eastAsia" w:ascii="仿宋_GB2312" w:hAnsi="Calibri" w:eastAsia="仿宋_GB2312" w:cs="黑体"/>
                <w:szCs w:val="30"/>
              </w:rPr>
              <w:t>具有社区交流休闲空间或社区服务活动场所。如：社区文化交流、社区公益服务、社区党群活动、社区交流空间等交流休闲空间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hAnsiTheme="minorHAnsi" w:cstheme="minorBidi"/>
              </w:rPr>
            </w:pPr>
            <w:r>
              <w:rPr>
                <w:rFonts w:hint="eastAsia" w:ascii="仿宋_GB2312" w:eastAsia="仿宋_GB2312" w:hAnsiTheme="minorHAnsi" w:cstheme="minorBidi"/>
              </w:rPr>
              <w:t>公益性便民服务面积不低于项目总面积的10%。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hAnsiTheme="minorHAns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黑体"/>
                <w:b/>
                <w:szCs w:val="21"/>
              </w:rPr>
            </w:pPr>
            <w:r>
              <w:rPr>
                <w:rFonts w:hint="eastAsia" w:ascii="仿宋_GB2312" w:hAnsi="Calibri" w:eastAsia="仿宋_GB2312" w:cs="黑体"/>
                <w:b/>
                <w:szCs w:val="21"/>
              </w:rPr>
              <w:t>二级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500(含)-1000(含)平方米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不少于5项。其中基本服务功能不少于4项实体业态。</w:t>
            </w: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5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hAnsiTheme="minorHAns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黑体"/>
                <w:b/>
                <w:szCs w:val="21"/>
              </w:rPr>
            </w:pPr>
            <w:r>
              <w:rPr>
                <w:rFonts w:hint="eastAsia" w:ascii="仿宋_GB2312" w:hAnsi="Calibri" w:eastAsia="仿宋_GB2312" w:cs="黑体"/>
                <w:b/>
                <w:szCs w:val="21"/>
              </w:rPr>
              <w:t>三级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1000-2000(含)平方米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不少于9项。其中基本服务功能不少于6项实体业态。</w:t>
            </w: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hAnsiTheme="minorHAns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黑体"/>
                <w:b/>
                <w:szCs w:val="21"/>
              </w:rPr>
            </w:pPr>
            <w:r>
              <w:rPr>
                <w:rFonts w:hint="eastAsia" w:ascii="仿宋_GB2312" w:hAnsi="Calibri" w:eastAsia="仿宋_GB2312" w:cs="黑体"/>
                <w:b/>
                <w:szCs w:val="21"/>
              </w:rPr>
              <w:t>四级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大于2000平方米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不少于11项。其中基本服务功能不少于8项实体业态。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hAnsiTheme="minorHAnsi" w:cstheme="minorBidi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3、“第三空间”的安全生产、环境卫生、公共秩序、公共设施、景观维护等方面管理制度健全，建立相关工作机制。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shd w:val="clear" w:color="auto" w:fill="FFFFFF"/>
        </w:rPr>
        <w:t>五、资金支持原则及标准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黑体"/>
          <w:color w:val="00B0F0"/>
          <w:sz w:val="32"/>
          <w:szCs w:val="32"/>
        </w:rPr>
      </w:pP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1</w:t>
      </w:r>
      <w:r>
        <w:rPr>
          <w:rFonts w:hint="eastAsia" w:ascii="仿宋_GB2312" w:hAnsi="Calibri" w:eastAsia="仿宋_GB2312" w:cs="黑体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已完工项目经验收合格后，对新建“第三空间”给予项目装修及硬软件设备购置等建设支出给予支持，支持额不超过项目审定实际投资额的50%。其中，一级“第三空间”补助金额最高不超过100万元；二级“第三空间”补助金额最高不超过200万元；三级“第三空间”补</w:t>
      </w:r>
      <w:r>
        <w:rPr>
          <w:rFonts w:hint="eastAsia" w:ascii="仿宋_GB2312" w:hAnsi="Calibri" w:eastAsia="仿宋_GB2312" w:cs="黑体"/>
          <w:sz w:val="32"/>
          <w:szCs w:val="32"/>
        </w:rPr>
        <w:t>助金额最高不超过300万元；四级“第三空间”补助金额最高不超过400万元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2</w:t>
      </w:r>
      <w:r>
        <w:rPr>
          <w:rFonts w:hint="eastAsia" w:ascii="仿宋_GB2312" w:hAnsi="Calibri" w:eastAsia="仿宋_GB2312" w:cs="黑体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 w:cs="黑体"/>
          <w:sz w:val="32"/>
          <w:szCs w:val="32"/>
        </w:rPr>
        <w:t>项目经第三方评审后，对“第三空间”项目采取分阶段拨付资金的模式，支持比例为第一年拨付应补助金额的60%，第二年拨付应补助金额的20%，第三年拨付应补助金额的20%。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3.出现以下情况的企业，取消当年享受政府资金支持的资格。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（1）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项目投资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第三方评审审减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超过20%的企业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（2）不诚信经营，当年被相关部门列入黑名单的企业。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4.出现以下情况的企业，永久取消享受政府资金支持的资格。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（1）经评审公司评审认定虚报、多报施工工程金额，且金额超过10万元的企业。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（2）提供的评审票据出现假发票，且数额达到1万元以上的企业。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第一年经验收合格后拨付应补助金额的60%；剩余两年，每年由经营企业提出申请，经区商务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局联合街道等相关部门进</w:t>
      </w:r>
      <w:r>
        <w:rPr>
          <w:rFonts w:hint="eastAsia" w:ascii="仿宋_GB2312" w:eastAsia="仿宋_GB2312"/>
          <w:sz w:val="32"/>
          <w:szCs w:val="32"/>
        </w:rPr>
        <w:t>行现场验收，核实项目与申请时无业态重大变化的，给予拨付补助金额的20%；经核实项目与申请时有重大变化的，如网点停业、经营业态数量不达标等情况，需由经营方出具相关原因解释证明材料，经研究后决定处理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 w:cs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9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8"/>
        <w:gridCol w:w="5670"/>
        <w:gridCol w:w="6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 w:val="30"/>
                <w:szCs w:val="30"/>
              </w:rPr>
            </w:pPr>
            <w:r>
              <w:rPr>
                <w:rFonts w:hint="eastAsia" w:ascii="仿宋_GB2312" w:hAnsi="Calibri" w:eastAsia="仿宋_GB2312" w:cs="黑体"/>
                <w:sz w:val="30"/>
                <w:szCs w:val="30"/>
              </w:rPr>
              <w:t>附表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黑体"/>
                <w:b/>
                <w:sz w:val="30"/>
                <w:szCs w:val="30"/>
              </w:rPr>
            </w:pPr>
            <w:r>
              <w:rPr>
                <w:rFonts w:hint="eastAsia" w:ascii="仿宋_GB2312" w:hAnsi="Calibri" w:eastAsia="仿宋_GB2312" w:cs="黑体"/>
                <w:b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黑体"/>
                <w:b/>
                <w:sz w:val="30"/>
                <w:szCs w:val="30"/>
              </w:rPr>
            </w:pPr>
            <w:r>
              <w:rPr>
                <w:rFonts w:hint="eastAsia" w:ascii="仿宋_GB2312" w:hAnsi="Calibri" w:eastAsia="仿宋_GB2312" w:cs="黑体"/>
                <w:b/>
                <w:sz w:val="30"/>
                <w:szCs w:val="30"/>
              </w:rPr>
              <w:t>类别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黑体"/>
                <w:b/>
                <w:sz w:val="30"/>
                <w:szCs w:val="30"/>
              </w:rPr>
            </w:pPr>
            <w:r>
              <w:rPr>
                <w:rFonts w:hint="eastAsia" w:ascii="仿宋_GB2312" w:hAnsi="Calibri" w:eastAsia="仿宋_GB2312" w:cs="黑体"/>
                <w:b/>
                <w:sz w:val="30"/>
                <w:szCs w:val="30"/>
              </w:rPr>
              <w:t>项目标准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黑体"/>
                <w:b/>
                <w:sz w:val="30"/>
                <w:szCs w:val="30"/>
              </w:rPr>
            </w:pPr>
            <w:r>
              <w:rPr>
                <w:rFonts w:hint="eastAsia" w:ascii="仿宋_GB2312" w:hAnsi="Calibri" w:eastAsia="仿宋_GB2312" w:cs="黑体"/>
                <w:b/>
                <w:sz w:val="30"/>
                <w:szCs w:val="30"/>
              </w:rPr>
              <w:t>支持标准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2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黑体"/>
                <w:b/>
                <w:szCs w:val="21"/>
              </w:rPr>
            </w:pPr>
            <w:r>
              <w:rPr>
                <w:rFonts w:hint="eastAsia" w:ascii="仿宋_GB2312" w:hAnsi="Calibri" w:eastAsia="仿宋_GB2312" w:cs="黑体"/>
                <w:b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“第三空间” 新建项目</w:t>
            </w:r>
          </w:p>
        </w:tc>
        <w:tc>
          <w:tcPr>
            <w:tcW w:w="56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b/>
                <w:szCs w:val="21"/>
              </w:rPr>
            </w:pPr>
            <w:r>
              <w:rPr>
                <w:rFonts w:hint="eastAsia" w:ascii="仿宋_GB2312" w:hAnsi="Calibri" w:eastAsia="仿宋_GB2312" w:cs="黑体"/>
                <w:b/>
                <w:szCs w:val="21"/>
              </w:rPr>
              <w:t>一、新建项目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1.符合街道生活性服务业整体规划，符合便利化、规范化、品牌化、连锁化、集约化和智能化的项目。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3.《营业执照》等相关证照齐全、有效，相关建设或改造投资票据齐全、有效。</w:t>
            </w:r>
          </w:p>
        </w:tc>
        <w:tc>
          <w:tcPr>
            <w:tcW w:w="60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b/>
                <w:szCs w:val="21"/>
              </w:rPr>
            </w:pPr>
            <w:r>
              <w:rPr>
                <w:rFonts w:hint="eastAsia" w:ascii="仿宋_GB2312" w:hAnsi="Calibri" w:eastAsia="仿宋_GB2312" w:cs="黑体"/>
                <w:b/>
                <w:szCs w:val="21"/>
              </w:rPr>
              <w:t>一、新建项目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给予项目装修及硬软件设备购置等建设支出给予补贴，补贴额不得超过项目总投资的50%。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1、“第三空间”达到一级标准的，经营面积小于500㎡的给予不超过100万元的资金支持。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2、“第三空间”达到二级标准的，经营面积大于500㎡（含）且小于1000㎡（含）的给予不超过200万元的资金支持。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3、“第三空间”达到三级标准的，经营面积在1000㎡至2000㎡（含）以下的给予不超过300万元的资金支持。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Calibri" w:eastAsia="仿宋_GB2312" w:cs="黑体"/>
                <w:szCs w:val="21"/>
              </w:rPr>
            </w:pPr>
            <w:r>
              <w:rPr>
                <w:rFonts w:hint="eastAsia" w:ascii="仿宋_GB2312" w:hAnsi="Calibri" w:eastAsia="仿宋_GB2312" w:cs="黑体"/>
                <w:szCs w:val="21"/>
              </w:rPr>
              <w:t>4、“第三空间”达到四级标准的，经营面积在2000㎡以上的给予不超过400万元的资金支持。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89"/>
    <w:rsid w:val="00012688"/>
    <w:rsid w:val="00013633"/>
    <w:rsid w:val="00062CA1"/>
    <w:rsid w:val="00072EC5"/>
    <w:rsid w:val="000A2CE2"/>
    <w:rsid w:val="00127A9E"/>
    <w:rsid w:val="001304C6"/>
    <w:rsid w:val="00142C08"/>
    <w:rsid w:val="00165FF3"/>
    <w:rsid w:val="001B3A81"/>
    <w:rsid w:val="001B3F59"/>
    <w:rsid w:val="001D660B"/>
    <w:rsid w:val="00226AAF"/>
    <w:rsid w:val="00234FE9"/>
    <w:rsid w:val="00283F36"/>
    <w:rsid w:val="002B59C8"/>
    <w:rsid w:val="002D13E0"/>
    <w:rsid w:val="003068C4"/>
    <w:rsid w:val="003C1AA6"/>
    <w:rsid w:val="003C2C26"/>
    <w:rsid w:val="003C633E"/>
    <w:rsid w:val="003D71F4"/>
    <w:rsid w:val="003F7BFF"/>
    <w:rsid w:val="00426C65"/>
    <w:rsid w:val="004A00E1"/>
    <w:rsid w:val="004B2EBF"/>
    <w:rsid w:val="0053725E"/>
    <w:rsid w:val="005A5C89"/>
    <w:rsid w:val="005E4EAF"/>
    <w:rsid w:val="00691C29"/>
    <w:rsid w:val="006A5249"/>
    <w:rsid w:val="006E5D02"/>
    <w:rsid w:val="006E73DA"/>
    <w:rsid w:val="007145C1"/>
    <w:rsid w:val="00730507"/>
    <w:rsid w:val="007573C3"/>
    <w:rsid w:val="007639ED"/>
    <w:rsid w:val="007724BF"/>
    <w:rsid w:val="0077695A"/>
    <w:rsid w:val="00786414"/>
    <w:rsid w:val="0079690D"/>
    <w:rsid w:val="007F452F"/>
    <w:rsid w:val="008223F8"/>
    <w:rsid w:val="00831ADC"/>
    <w:rsid w:val="008C2D12"/>
    <w:rsid w:val="008E64E8"/>
    <w:rsid w:val="00930AC9"/>
    <w:rsid w:val="0093502D"/>
    <w:rsid w:val="00971BC5"/>
    <w:rsid w:val="00975874"/>
    <w:rsid w:val="009910C0"/>
    <w:rsid w:val="009C161E"/>
    <w:rsid w:val="009D1879"/>
    <w:rsid w:val="009E238C"/>
    <w:rsid w:val="009F0361"/>
    <w:rsid w:val="00A0252E"/>
    <w:rsid w:val="00A02835"/>
    <w:rsid w:val="00A3348F"/>
    <w:rsid w:val="00A46617"/>
    <w:rsid w:val="00B73788"/>
    <w:rsid w:val="00B80C1F"/>
    <w:rsid w:val="00B94273"/>
    <w:rsid w:val="00BC2C89"/>
    <w:rsid w:val="00BC639C"/>
    <w:rsid w:val="00BD44EB"/>
    <w:rsid w:val="00C12E1E"/>
    <w:rsid w:val="00C30EA8"/>
    <w:rsid w:val="00C549E3"/>
    <w:rsid w:val="00C70007"/>
    <w:rsid w:val="00C70725"/>
    <w:rsid w:val="00CD43B9"/>
    <w:rsid w:val="00CE4E64"/>
    <w:rsid w:val="00D266B3"/>
    <w:rsid w:val="00DA33E2"/>
    <w:rsid w:val="00DB0B9E"/>
    <w:rsid w:val="00DB63C4"/>
    <w:rsid w:val="00DC03A4"/>
    <w:rsid w:val="00DD45FC"/>
    <w:rsid w:val="00E238D3"/>
    <w:rsid w:val="00E91B50"/>
    <w:rsid w:val="00ED189A"/>
    <w:rsid w:val="00ED2041"/>
    <w:rsid w:val="00F363DD"/>
    <w:rsid w:val="00FA22AC"/>
    <w:rsid w:val="15057F04"/>
    <w:rsid w:val="1E840926"/>
    <w:rsid w:val="36DD19F1"/>
    <w:rsid w:val="38AE330C"/>
    <w:rsid w:val="39456E10"/>
    <w:rsid w:val="3CBE48BD"/>
    <w:rsid w:val="5F1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2863B-D61D-4248-922F-75127C7C4C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338</Words>
  <Characters>1933</Characters>
  <Lines>16</Lines>
  <Paragraphs>4</Paragraphs>
  <TotalTime>0</TotalTime>
  <ScaleCrop>false</ScaleCrop>
  <LinksUpToDate>false</LinksUpToDate>
  <CharactersWithSpaces>2267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2019-11-04T04:25:00Z</dcterms:created>
  <dc:creator>lenovo</dc:creator>
  <cp:lastModifiedBy>Ace</cp:lastModifiedBy>
  <cp:lastPrinted>2019-11-06T02:56:00Z</cp:lastPrinted>
  <dcterms:modified xsi:type="dcterms:W3CDTF">2021-07-25T12:56:42Z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