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zh-CN"/>
        </w:rPr>
        <w:id w:val="10602250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40" w:name="_GoBack"/>
          <w:bookmarkEnd w:id="40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_Toc14292 </w:instrText>
          </w:r>
          <w:r>
            <w:fldChar w:fldCharType="separate"/>
          </w:r>
          <w:r>
            <w:rPr>
              <w:rFonts w:hint="eastAsia" w:ascii="楷体" w:hAnsi="楷体" w:eastAsia="楷体" w:cs="楷体"/>
            </w:rPr>
            <w:t>20</w:t>
          </w:r>
          <w:r>
            <w:rPr>
              <w:rFonts w:hint="eastAsia" w:ascii="楷体" w:hAnsi="楷体" w:eastAsia="楷体" w:cs="楷体"/>
              <w:lang w:val="en-US" w:eastAsia="zh-CN"/>
            </w:rPr>
            <w:t>20</w:t>
          </w:r>
          <w:r>
            <w:rPr>
              <w:rFonts w:hint="eastAsia" w:ascii="楷体" w:hAnsi="楷体" w:eastAsia="楷体" w:cs="楷体"/>
            </w:rPr>
            <w:t>年部门决算编制说明</w:t>
          </w:r>
          <w:r>
            <w:tab/>
          </w:r>
          <w:r>
            <w:fldChar w:fldCharType="begin"/>
          </w:r>
          <w:r>
            <w:instrText xml:space="preserve"> PAGEREF _Toc14292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_Toc3420 </w:instrText>
          </w:r>
          <w:r>
            <w:fldChar w:fldCharType="separate"/>
          </w:r>
          <w:r>
            <w:rPr>
              <w:rFonts w:hint="eastAsia" w:ascii="楷体" w:hAnsi="楷体" w:eastAsia="楷体" w:cs="楷体"/>
            </w:rPr>
            <w:t>第一部分、20</w:t>
          </w:r>
          <w:r>
            <w:rPr>
              <w:rFonts w:hint="eastAsia" w:ascii="楷体" w:hAnsi="楷体" w:eastAsia="楷体" w:cs="楷体"/>
              <w:lang w:val="en-US" w:eastAsia="zh-CN"/>
            </w:rPr>
            <w:t>20</w:t>
          </w:r>
          <w:r>
            <w:rPr>
              <w:rFonts w:hint="eastAsia" w:ascii="楷体" w:hAnsi="楷体" w:eastAsia="楷体" w:cs="楷体"/>
            </w:rPr>
            <w:t>年部门决算说明</w:t>
          </w:r>
          <w:r>
            <w:tab/>
          </w:r>
          <w:r>
            <w:fldChar w:fldCharType="begin"/>
          </w:r>
          <w:r>
            <w:instrText xml:space="preserve"> PAGEREF _Toc3420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一、部门主要职责及机构设置情况</w:t>
          </w:r>
          <w:r>
            <w:tab/>
          </w:r>
          <w:r>
            <w:fldChar w:fldCharType="begin"/>
          </w:r>
          <w:r>
            <w:instrText xml:space="preserve"> PAGEREF _Toc313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_Toc20277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（一）主要职责</w:t>
          </w:r>
          <w:r>
            <w:tab/>
          </w:r>
          <w:r>
            <w:fldChar w:fldCharType="begin"/>
          </w:r>
          <w:r>
            <w:instrText xml:space="preserve"> PAGEREF _Toc20277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_Toc5053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（二）人员构成情况</w:t>
          </w:r>
          <w:r>
            <w:tab/>
          </w:r>
          <w:r>
            <w:fldChar w:fldCharType="begin"/>
          </w:r>
          <w:r>
            <w:instrText xml:space="preserve"> PAGEREF _Toc5053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_Toc31007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（三）部门决算单位构成</w:t>
          </w:r>
          <w:r>
            <w:tab/>
          </w:r>
          <w:r>
            <w:fldChar w:fldCharType="begin"/>
          </w:r>
          <w:r>
            <w:instrText xml:space="preserve"> PAGEREF _Toc31007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_Toc13500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二、20</w:t>
          </w:r>
          <w:r>
            <w:rPr>
              <w:rFonts w:hint="eastAsia" w:ascii="黑体" w:hAnsi="黑体" w:eastAsia="黑体" w:cs="黑体"/>
              <w:szCs w:val="30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szCs w:val="30"/>
            </w:rPr>
            <w:t>年部门收入支出决算总体情况说明</w:t>
          </w:r>
          <w:r>
            <w:tab/>
          </w:r>
          <w:r>
            <w:fldChar w:fldCharType="begin"/>
          </w:r>
          <w:r>
            <w:instrText xml:space="preserve"> PAGEREF _Toc13500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_Toc28810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（一）收入总体情况</w:t>
          </w:r>
          <w:r>
            <w:tab/>
          </w:r>
          <w:r>
            <w:fldChar w:fldCharType="begin"/>
          </w:r>
          <w:r>
            <w:instrText xml:space="preserve"> PAGEREF _Toc28810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_Toc7009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（二）支出总体情况</w:t>
          </w:r>
          <w:r>
            <w:tab/>
          </w:r>
          <w:r>
            <w:fldChar w:fldCharType="begin"/>
          </w:r>
          <w:r>
            <w:instrText xml:space="preserve"> PAGEREF _Toc7009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_Toc16774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三、20</w:t>
          </w:r>
          <w:r>
            <w:rPr>
              <w:rFonts w:hint="eastAsia" w:ascii="黑体" w:hAnsi="黑体" w:eastAsia="黑体" w:cs="黑体"/>
              <w:highlight w:val="none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highlight w:val="none"/>
            </w:rPr>
            <w:t>年一般公共预算财政拨款支出决算情况说明</w:t>
          </w:r>
          <w:r>
            <w:tab/>
          </w:r>
          <w:r>
            <w:fldChar w:fldCharType="begin"/>
          </w:r>
          <w:r>
            <w:instrText xml:space="preserve"> PAGEREF _Toc16774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_Toc22214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（一）一般公共预算财政拨款支出决算总体情况</w:t>
          </w:r>
          <w:r>
            <w:tab/>
          </w:r>
          <w:r>
            <w:fldChar w:fldCharType="begin"/>
          </w:r>
          <w:r>
            <w:instrText xml:space="preserve"> PAGEREF _Toc22214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_Toc19690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（二）一般公共预算财政拨款支出决算具体情况</w:t>
          </w:r>
          <w:r>
            <w:tab/>
          </w:r>
          <w:r>
            <w:fldChar w:fldCharType="begin"/>
          </w:r>
          <w:r>
            <w:instrText xml:space="preserve"> PAGEREF _Toc19690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_Toc8705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四、20</w:t>
          </w:r>
          <w:r>
            <w:rPr>
              <w:rFonts w:hint="eastAsia" w:ascii="黑体" w:hAnsi="黑体" w:eastAsia="黑体" w:cs="黑体"/>
              <w:highlight w:val="none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highlight w:val="none"/>
            </w:rPr>
            <w:t>年一般公共预算财政拨款基本支出决算情况说明</w:t>
          </w:r>
          <w:r>
            <w:tab/>
          </w:r>
          <w:r>
            <w:fldChar w:fldCharType="begin"/>
          </w:r>
          <w:r>
            <w:instrText xml:space="preserve"> PAGEREF _Toc8705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_Toc12454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五、20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年一般公共预算财政拨款“三公”经费支出决算情况说明</w:t>
          </w:r>
          <w:r>
            <w:tab/>
          </w:r>
          <w:r>
            <w:fldChar w:fldCharType="begin"/>
          </w:r>
          <w:r>
            <w:instrText xml:space="preserve"> PAGEREF _Toc12454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_Toc32172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（一）“三公”经费财政拨款决算的单位范围</w:t>
          </w:r>
          <w:r>
            <w:tab/>
          </w:r>
          <w:r>
            <w:fldChar w:fldCharType="begin"/>
          </w:r>
          <w:r>
            <w:instrText xml:space="preserve"> PAGEREF _Toc32172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_Toc937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（二）“三公”经费财政拨款决算情况说明</w:t>
          </w:r>
          <w:r>
            <w:tab/>
          </w:r>
          <w:r>
            <w:fldChar w:fldCharType="begin"/>
          </w:r>
          <w:r>
            <w:instrText xml:space="preserve"> PAGEREF _Toc937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_Toc25266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六、20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年政府性基金预算财政拨款收入支出决算情况说明</w:t>
          </w:r>
          <w:r>
            <w:tab/>
          </w:r>
          <w:r>
            <w:fldChar w:fldCharType="begin"/>
          </w:r>
          <w:r>
            <w:instrText xml:space="preserve"> PAGEREF _Toc25266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七、国有资本经营预算拨款收入支出决算情况说明</w:t>
          </w:r>
          <w:r>
            <w:tab/>
          </w:r>
          <w:r>
            <w:fldChar w:fldCharType="begin"/>
          </w:r>
          <w:r>
            <w:instrText xml:space="preserve"> PAGEREF _Toc2569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_Toc16476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八、20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年其他重要事项的情况说明</w:t>
          </w:r>
          <w:r>
            <w:tab/>
          </w:r>
          <w:r>
            <w:fldChar w:fldCharType="begin"/>
          </w:r>
          <w:r>
            <w:instrText xml:space="preserve"> PAGEREF _Toc16476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_Toc27466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（一）机关运行经费支出情况</w:t>
          </w:r>
          <w:r>
            <w:tab/>
          </w:r>
          <w:r>
            <w:fldChar w:fldCharType="begin"/>
          </w:r>
          <w:r>
            <w:instrText xml:space="preserve"> PAGEREF _Toc27466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firstLine="420" w:firstLineChars="200"/>
          </w:pPr>
          <w:r>
            <w:fldChar w:fldCharType="begin"/>
          </w:r>
          <w:r>
            <w:instrText xml:space="preserve"> HYPERLINK \l _Toc18425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（二）政府采购支出情况</w:t>
          </w:r>
          <w:r>
            <w:tab/>
          </w:r>
          <w:r>
            <w:fldChar w:fldCharType="begin"/>
          </w:r>
          <w:r>
            <w:instrText xml:space="preserve"> PAGEREF _Toc18425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_Toc1014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（三）政府购买服务支出情况</w:t>
          </w:r>
          <w:r>
            <w:tab/>
          </w:r>
          <w:r>
            <w:fldChar w:fldCharType="begin"/>
          </w:r>
          <w:r>
            <w:instrText xml:space="preserve"> PAGEREF _Toc1014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_Toc23188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（四）国有资产占用情况</w:t>
          </w:r>
          <w:r>
            <w:tab/>
          </w:r>
          <w:r>
            <w:fldChar w:fldCharType="begin"/>
          </w:r>
          <w:r>
            <w:instrText xml:space="preserve"> PAGEREF _Toc23188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_Toc29928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（五）绩效目标开展情况</w:t>
          </w:r>
          <w:r>
            <w:tab/>
          </w:r>
          <w:r>
            <w:fldChar w:fldCharType="begin"/>
          </w:r>
          <w:r>
            <w:instrText xml:space="preserve"> PAGEREF _Toc29928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_Toc20887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九、各类民生支出情况</w:t>
          </w:r>
          <w:r>
            <w:tab/>
          </w:r>
          <w:r>
            <w:fldChar w:fldCharType="begin"/>
          </w:r>
          <w:r>
            <w:instrText xml:space="preserve"> PAGEREF _Toc20887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_Toc26099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十、专用名词解释</w:t>
          </w:r>
          <w:r>
            <w:tab/>
          </w:r>
          <w:r>
            <w:fldChar w:fldCharType="begin"/>
          </w:r>
          <w:r>
            <w:instrText xml:space="preserve"> PAGEREF _Toc26099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_Toc24913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highlight w:val="none"/>
            </w:rPr>
            <w:t>第二部分、20</w:t>
          </w:r>
          <w:r>
            <w:rPr>
              <w:rFonts w:hint="eastAsia" w:ascii="楷体" w:hAnsi="楷体" w:eastAsia="楷体" w:cs="楷体"/>
              <w:highlight w:val="none"/>
              <w:lang w:val="en-US" w:eastAsia="zh-CN"/>
            </w:rPr>
            <w:t>20</w:t>
          </w:r>
          <w:r>
            <w:rPr>
              <w:rFonts w:hint="eastAsia" w:ascii="楷体" w:hAnsi="楷体" w:eastAsia="楷体" w:cs="楷体"/>
              <w:highlight w:val="none"/>
            </w:rPr>
            <w:t>年部门决算表</w:t>
          </w:r>
          <w:r>
            <w:tab/>
          </w:r>
          <w:r>
            <w:fldChar w:fldCharType="begin"/>
          </w:r>
          <w:r>
            <w:instrText xml:space="preserve"> PAGEREF _Toc24913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_Toc24277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表一、收入支出决算总表</w:t>
          </w:r>
          <w:r>
            <w:tab/>
          </w:r>
          <w:r>
            <w:fldChar w:fldCharType="begin"/>
          </w:r>
          <w:r>
            <w:instrText xml:space="preserve"> PAGEREF _Toc24277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_Toc3238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表二、收入决算表</w:t>
          </w:r>
          <w:r>
            <w:tab/>
          </w:r>
          <w:r>
            <w:fldChar w:fldCharType="begin"/>
          </w:r>
          <w:r>
            <w:instrText xml:space="preserve"> PAGEREF _Toc3238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_Toc28809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表三、支出决算表</w:t>
          </w:r>
          <w:r>
            <w:tab/>
          </w:r>
          <w:r>
            <w:fldChar w:fldCharType="begin"/>
          </w:r>
          <w:r>
            <w:instrText xml:space="preserve"> PAGEREF _Toc28809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_Toc7049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表四、财政拨款收入支出决算总表</w:t>
          </w:r>
          <w:r>
            <w:tab/>
          </w:r>
          <w:r>
            <w:fldChar w:fldCharType="begin"/>
          </w:r>
          <w:r>
            <w:instrText xml:space="preserve"> PAGEREF _Toc7049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_Toc31360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表五、一般公共预算财政拨款支出决算表</w:t>
          </w:r>
          <w:r>
            <w:tab/>
          </w:r>
          <w:r>
            <w:fldChar w:fldCharType="begin"/>
          </w:r>
          <w:r>
            <w:instrText xml:space="preserve"> PAGEREF _Toc31360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_Toc20965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表六、一般公共预算财政拨款基本支出决算表</w:t>
          </w:r>
          <w:r>
            <w:tab/>
          </w:r>
          <w:r>
            <w:fldChar w:fldCharType="begin"/>
          </w:r>
          <w:r>
            <w:instrText xml:space="preserve"> PAGEREF _Toc20965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_Toc29255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表七、一般公共预算财政拨款“三公”经费支出决算表</w:t>
          </w:r>
          <w:r>
            <w:tab/>
          </w:r>
          <w:r>
            <w:fldChar w:fldCharType="begin"/>
          </w:r>
          <w:r>
            <w:instrText xml:space="preserve"> PAGEREF _Toc29255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_Toc21276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表八、政府性基金预算财政拨款收入支出决算表</w:t>
          </w:r>
          <w:r>
            <w:tab/>
          </w:r>
          <w:r>
            <w:fldChar w:fldCharType="begin"/>
          </w:r>
          <w:r>
            <w:instrText xml:space="preserve"> PAGEREF _Toc21276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_Toc2460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表九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、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政府性基金预算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财政拨款基本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支出决算表</w:t>
          </w:r>
          <w:r>
            <w:tab/>
          </w:r>
          <w:r>
            <w:fldChar w:fldCharType="begin"/>
          </w:r>
          <w:r>
            <w:instrText xml:space="preserve"> PAGEREF _Toc2460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_Toc15953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十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、国有资本经营预算拨款收入支出决算表</w:t>
          </w:r>
          <w:r>
            <w:tab/>
          </w:r>
          <w:r>
            <w:fldChar w:fldCharType="begin"/>
          </w:r>
          <w:r>
            <w:instrText xml:space="preserve"> PAGEREF _Toc15953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_Toc11786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一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、政府采购情况表</w:t>
          </w:r>
          <w:r>
            <w:tab/>
          </w:r>
          <w:r>
            <w:fldChar w:fldCharType="begin"/>
          </w:r>
          <w:r>
            <w:instrText xml:space="preserve"> PAGEREF _Toc11786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_Toc12809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二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、政府购买服务情况表</w:t>
          </w:r>
          <w:r>
            <w:tab/>
          </w:r>
          <w:r>
            <w:fldChar w:fldCharType="begin"/>
          </w:r>
          <w:r>
            <w:instrText xml:space="preserve"> PAGEREF _Toc12809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_Toc30334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三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、民生预算明细表</w:t>
          </w:r>
          <w:r>
            <w:tab/>
          </w:r>
          <w:r>
            <w:fldChar w:fldCharType="begin"/>
          </w:r>
          <w:r>
            <w:instrText xml:space="preserve"> PAGEREF _Toc30334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jc w:val="center"/>
        <w:rPr>
          <w:rFonts w:hint="eastAsia" w:ascii="楷体" w:hAnsi="楷体" w:eastAsia="楷体" w:cs="楷体"/>
        </w:rPr>
      </w:pPr>
      <w:bookmarkStart w:id="0" w:name="_Toc14292"/>
      <w:r>
        <w:rPr>
          <w:rFonts w:hint="eastAsia" w:ascii="楷体" w:hAnsi="楷体" w:eastAsia="楷体" w:cs="楷体"/>
        </w:rPr>
        <w:t>20</w:t>
      </w:r>
      <w:r>
        <w:rPr>
          <w:rFonts w:hint="eastAsia" w:ascii="楷体" w:hAnsi="楷体" w:eastAsia="楷体" w:cs="楷体"/>
          <w:lang w:val="en-US" w:eastAsia="zh-CN"/>
        </w:rPr>
        <w:t>20</w:t>
      </w:r>
      <w:r>
        <w:rPr>
          <w:rFonts w:hint="eastAsia" w:ascii="楷体" w:hAnsi="楷体" w:eastAsia="楷体" w:cs="楷体"/>
        </w:rPr>
        <w:t>年部门决算编制说明</w:t>
      </w:r>
      <w:bookmarkEnd w:id="0"/>
    </w:p>
    <w:p>
      <w:pPr>
        <w:pStyle w:val="2"/>
        <w:rPr>
          <w:rFonts w:hint="eastAsia" w:ascii="楷体" w:hAnsi="楷体" w:eastAsia="楷体" w:cs="楷体"/>
        </w:rPr>
      </w:pPr>
      <w:bookmarkStart w:id="1" w:name="_Toc3420"/>
      <w:r>
        <w:rPr>
          <w:rFonts w:hint="eastAsia" w:ascii="楷体" w:hAnsi="楷体" w:eastAsia="楷体" w:cs="楷体"/>
        </w:rPr>
        <w:t>第一部分、20</w:t>
      </w:r>
      <w:r>
        <w:rPr>
          <w:rFonts w:hint="eastAsia" w:ascii="楷体" w:hAnsi="楷体" w:eastAsia="楷体" w:cs="楷体"/>
          <w:lang w:val="en-US" w:eastAsia="zh-CN"/>
        </w:rPr>
        <w:t>20</w:t>
      </w:r>
      <w:r>
        <w:rPr>
          <w:rFonts w:hint="eastAsia" w:ascii="楷体" w:hAnsi="楷体" w:eastAsia="楷体" w:cs="楷体"/>
        </w:rPr>
        <w:t>年部门决算说明</w:t>
      </w:r>
      <w:bookmarkEnd w:id="1"/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2" w:name="_Toc313"/>
      <w:r>
        <w:rPr>
          <w:rFonts w:hint="eastAsia" w:ascii="黑体" w:hAnsi="黑体" w:eastAsia="黑体" w:cs="黑体"/>
          <w:sz w:val="30"/>
          <w:szCs w:val="30"/>
        </w:rPr>
        <w:t>一、部门主要职责及机构设置情况</w:t>
      </w:r>
      <w:bookmarkEnd w:id="2"/>
    </w:p>
    <w:p>
      <w:pPr>
        <w:pStyle w:val="4"/>
        <w:rPr>
          <w:rFonts w:hint="eastAsia" w:ascii="黑体" w:hAnsi="黑体" w:eastAsia="黑体" w:cs="黑体"/>
          <w:sz w:val="30"/>
          <w:szCs w:val="30"/>
        </w:rPr>
      </w:pPr>
      <w:bookmarkStart w:id="3" w:name="_Toc20277"/>
      <w:r>
        <w:rPr>
          <w:rFonts w:hint="eastAsia" w:ascii="黑体" w:hAnsi="黑体" w:eastAsia="黑体" w:cs="黑体"/>
          <w:sz w:val="30"/>
          <w:szCs w:val="30"/>
        </w:rPr>
        <w:t>（一）主要职责</w:t>
      </w:r>
      <w:bookmarkEnd w:id="3"/>
    </w:p>
    <w:p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广内街道工委是区委的派出机关，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根据区委的授权，全面负责辖区党的建设，领导辖区的工作和基层社会治理；广内街道办事处是区政府的派出机关，依据法律法规的规定，在区政府和街道工委的领导下，履行相应职能。广内街道工委与广内街道办事处合署办公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街道工委主要职责：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宣传和执行党的路线、方针、政策，宣传和执行党中央、市委、区委的决议，及时向区委报告辖区有关情况、反映问题、提出意见建议。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讨论并决定辖区重大问题，统筹推进平安建设、城市管理、社区建设、民生保障等工作， 统筹、协调辖区单位和组织，团结、组织党内外干部和群众， 抓好决策部署的组织实施和督促落实。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履行全面从严治党主体责任，全面推进辖区党的政治建设、 思想建设、组织建设、作风建设、纪律建设，把制度建设贯穿其中，组织协调反腐败工作。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组织维护辖区安全稳定，协调推动社会治安综合治理，承担民兵预备役、征兵、民防工作。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承办区委交办的其他事项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街道办事处主要职责：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贯彻执行法律、法规、规章和市、区政府的决策部署，依法管理基层公共事务。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承担辖区市容环境卫生、绿化美化的管理工作，推进街巷长、河长制工作，组织、协调城市管理综合执法和环境秩序综合治理工作，推进城市精细化管理。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协助依法履行安全生产、消防安全、食品安全、环境保护、劳动保障、流动人口及出租房屋监督管理工作，承担辖区应急、防汛和防灾减灾工作。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参与制定并组织实施社区建设规划和公共服务设施规划，组织辖区单位、居民和志愿者队伍为社区发展服务。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负责社区居民委员会建设，指导社区居民委员会工作，培育、发展社区社会组织，指导、监督社区业主委员会。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推进居民自治，动员社会力量参与社区治理，推动形成社区共治合力。向上级政府反映社情民意。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组织开展群众性文化、体育、科普活动，开展法治宣和社会公德教育，推动社区公益事业发展。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组织开展公共服务，落实人力社保、民政、卫生健康、教育、住房保障、便民服务等政策，维护老年人、妇女、未成年人、残疾人等合法权益。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负责联系、服务辖区单位，营造良好的营商环境。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承办区政府交办的其他事项</w:t>
      </w:r>
    </w:p>
    <w:p>
      <w:pPr>
        <w:pStyle w:val="28"/>
        <w:spacing w:line="600" w:lineRule="exact"/>
        <w:ind w:firstLine="640"/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27"/>
          <w:rFonts w:hint="eastAsia" w:ascii="仿宋" w:hAnsi="仿宋" w:eastAsia="仿宋" w:cs="仿宋"/>
          <w:sz w:val="32"/>
          <w:szCs w:val="32"/>
        </w:rPr>
        <w:t>纪律检查工作委员会（监察组）职责:街道纪律检查工作委员会是区纪律检查委员会的派出机构，监察组是区监察委员会的派出机构，与纪律检查工作委员会合署办公。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8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根据上述职责， 广内街道工委、办事处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31个职能科室整合，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设置以下 7 个内设机构。</w:t>
      </w:r>
    </w:p>
    <w:p>
      <w:pPr>
        <w:pStyle w:val="28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（一）综合办公室、（二）党群工作办公室（ 人大代表工作委员会、总工会、团工委、妇联）、（三）平安建设办公室（政法工作办公室、 人民武装部、司法所）、（四）城市管理办公室（区城管执法监察局广内执法队）、（五）社区建设办公室、（六）民生保障办公室（残联）、（七）地区协调服务办公室（ 统计所）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本单位下辖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个事业单位，分别是广内街道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党群服务中心、广内街道市民服务中心</w:t>
      </w:r>
      <w:r>
        <w:rPr>
          <w:rFonts w:hint="eastAsia" w:ascii="仿宋" w:hAnsi="仿宋" w:eastAsia="仿宋" w:cs="仿宋"/>
          <w:sz w:val="32"/>
          <w:szCs w:val="32"/>
        </w:rPr>
        <w:t>及广内街道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全响应街区治理</w:t>
      </w:r>
      <w:r>
        <w:rPr>
          <w:rFonts w:hint="eastAsia" w:ascii="仿宋" w:hAnsi="仿宋" w:eastAsia="仿宋" w:cs="仿宋"/>
          <w:sz w:val="32"/>
          <w:szCs w:val="32"/>
        </w:rPr>
        <w:t>中心。</w:t>
      </w:r>
    </w:p>
    <w:p>
      <w:pPr>
        <w:pStyle w:val="4"/>
        <w:rPr>
          <w:sz w:val="30"/>
          <w:szCs w:val="30"/>
        </w:rPr>
      </w:pPr>
      <w:bookmarkStart w:id="4" w:name="_Toc5053"/>
      <w:r>
        <w:rPr>
          <w:rFonts w:hint="eastAsia" w:ascii="黑体" w:hAnsi="黑体" w:eastAsia="黑体" w:cs="黑体"/>
          <w:sz w:val="30"/>
          <w:szCs w:val="30"/>
        </w:rPr>
        <w:t>（二）人员构成情况</w:t>
      </w:r>
      <w:bookmarkEnd w:id="4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广内街道工委、办事处行政编制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115</w:t>
      </w:r>
      <w:r>
        <w:rPr>
          <w:rFonts w:hint="eastAsia" w:ascii="仿宋" w:hAnsi="仿宋" w:eastAsia="仿宋" w:cs="仿宋"/>
          <w:sz w:val="32"/>
          <w:szCs w:val="32"/>
        </w:rPr>
        <w:t>名（其中工勤编制6名）；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政法专项编制 4 名；行政执法专项编制 28名，共计147名，</w:t>
      </w:r>
      <w:r>
        <w:rPr>
          <w:rFonts w:hint="eastAsia" w:ascii="仿宋" w:hAnsi="仿宋" w:eastAsia="仿宋" w:cs="仿宋"/>
          <w:sz w:val="32"/>
          <w:szCs w:val="32"/>
        </w:rPr>
        <w:t>实有人数1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人；长期聘用临时工0人。事业编制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其中事业工勤编制2人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，实际人数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人。实际长期聘用临时工0人。离退休人员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147</w:t>
      </w:r>
      <w:r>
        <w:rPr>
          <w:rFonts w:hint="eastAsia" w:ascii="仿宋" w:hAnsi="仿宋" w:eastAsia="仿宋" w:cs="仿宋"/>
          <w:sz w:val="32"/>
          <w:szCs w:val="32"/>
        </w:rPr>
        <w:t>人，其中：离休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人，机关退休12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 w:cs="仿宋"/>
          <w:sz w:val="32"/>
          <w:szCs w:val="32"/>
        </w:rPr>
        <w:t>退休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人。我街道共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个社区，20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年12月底实有社区工作者2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我街道财政负担的托幼退养人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人，托幼退休人员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人，民政地退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</w:t>
      </w:r>
    </w:p>
    <w:p>
      <w:pPr>
        <w:pStyle w:val="4"/>
      </w:pPr>
      <w:bookmarkStart w:id="5" w:name="_Toc31007"/>
      <w:r>
        <w:rPr>
          <w:rFonts w:hint="eastAsia" w:ascii="黑体" w:hAnsi="黑体" w:eastAsia="黑体" w:cs="黑体"/>
          <w:sz w:val="30"/>
          <w:szCs w:val="30"/>
        </w:rPr>
        <w:t>（三）部门决算单位构成</w:t>
      </w:r>
      <w:bookmarkEnd w:id="5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决算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范围囊括了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1个单位即</w:t>
      </w:r>
      <w:r>
        <w:rPr>
          <w:rFonts w:hint="eastAsia" w:ascii="仿宋" w:hAnsi="仿宋" w:eastAsia="仿宋" w:cs="仿宋"/>
          <w:sz w:val="32"/>
          <w:szCs w:val="32"/>
        </w:rPr>
        <w:t>广安门内街道办事处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，没有纳入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2020年决算范围的二级决算单位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街道各类机构综合设置改革后，原街道社保所与社区中心撤销，资金并入街道本级整体核算，不再单独编制部门决算。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6" w:name="_Toc13500"/>
      <w:r>
        <w:rPr>
          <w:rFonts w:hint="eastAsia" w:ascii="黑体" w:hAnsi="黑体" w:eastAsia="黑体" w:cs="黑体"/>
          <w:sz w:val="30"/>
          <w:szCs w:val="30"/>
        </w:rPr>
        <w:t>二、20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sz w:val="30"/>
          <w:szCs w:val="30"/>
        </w:rPr>
        <w:t>年部门收入支出决算总体情况说明</w:t>
      </w:r>
      <w:bookmarkEnd w:id="6"/>
    </w:p>
    <w:p>
      <w:pPr>
        <w:pStyle w:val="4"/>
        <w:rPr>
          <w:rFonts w:hint="eastAsia" w:ascii="黑体" w:hAnsi="黑体" w:eastAsia="黑体" w:cs="黑体"/>
          <w:sz w:val="30"/>
          <w:szCs w:val="30"/>
        </w:rPr>
      </w:pPr>
      <w:bookmarkStart w:id="7" w:name="_Toc28810"/>
      <w:r>
        <w:rPr>
          <w:rFonts w:hint="eastAsia" w:ascii="黑体" w:hAnsi="黑体" w:eastAsia="黑体" w:cs="黑体"/>
          <w:sz w:val="30"/>
          <w:szCs w:val="30"/>
        </w:rPr>
        <w:t>（一）收入总体情况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年收入决算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287,690,555.44</w:t>
      </w:r>
      <w:r>
        <w:rPr>
          <w:rFonts w:hint="eastAsia" w:ascii="仿宋" w:hAnsi="仿宋" w:eastAsia="仿宋" w:cs="仿宋"/>
          <w:sz w:val="32"/>
          <w:szCs w:val="32"/>
        </w:rPr>
        <w:t>元。其中：财政拨款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287,690,555.44</w:t>
      </w:r>
      <w:r>
        <w:rPr>
          <w:rFonts w:hint="eastAsia" w:ascii="仿宋" w:hAnsi="仿宋" w:eastAsia="仿宋" w:cs="仿宋"/>
          <w:sz w:val="32"/>
          <w:szCs w:val="32"/>
        </w:rPr>
        <w:t>元，与去年收入267,385,370.05元相比增加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20,305,185.39</w:t>
      </w:r>
      <w:r>
        <w:rPr>
          <w:rFonts w:hint="eastAsia" w:ascii="仿宋" w:hAnsi="仿宋" w:eastAsia="仿宋" w:cs="仿宋"/>
          <w:sz w:val="32"/>
          <w:szCs w:val="32"/>
        </w:rPr>
        <w:t>元，增加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7.59</w:t>
      </w:r>
      <w:r>
        <w:rPr>
          <w:rFonts w:hint="eastAsia" w:ascii="仿宋" w:hAnsi="仿宋" w:eastAsia="仿宋" w:cs="仿宋"/>
          <w:sz w:val="32"/>
          <w:szCs w:val="32"/>
        </w:rPr>
        <w:t>%。上涨原因主要是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2020年下达中央直达资金专项用于困难群众生活救济、疫情期间灵活就业补贴、体育健身事业等；同时2020年区财政下拨疫情防控工作者补助，已全部发放到位。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本单位年初结转结余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729,923.90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pStyle w:val="4"/>
        <w:ind w:firstLine="301" w:firstLineChars="100"/>
      </w:pPr>
      <w:bookmarkStart w:id="8" w:name="_Toc7009"/>
      <w:r>
        <w:rPr>
          <w:rFonts w:hint="eastAsia" w:ascii="黑体" w:hAnsi="黑体" w:eastAsia="黑体" w:cs="黑体"/>
          <w:sz w:val="30"/>
          <w:szCs w:val="30"/>
        </w:rPr>
        <w:t>（二）支出总体情况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年支出决算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286,241,614.56</w:t>
      </w:r>
      <w:r>
        <w:rPr>
          <w:rFonts w:hint="eastAsia" w:ascii="仿宋" w:hAnsi="仿宋" w:eastAsia="仿宋" w:cs="仿宋"/>
          <w:sz w:val="32"/>
          <w:szCs w:val="32"/>
        </w:rPr>
        <w:t>元。与去年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264,321,632.05</w:t>
      </w:r>
      <w:r>
        <w:rPr>
          <w:rFonts w:hint="eastAsia" w:ascii="仿宋" w:hAnsi="仿宋" w:eastAsia="仿宋" w:cs="仿宋"/>
          <w:sz w:val="32"/>
          <w:szCs w:val="32"/>
        </w:rPr>
        <w:t>元相比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总支出</w:t>
      </w:r>
      <w:r>
        <w:rPr>
          <w:rFonts w:hint="eastAsia" w:ascii="仿宋" w:hAnsi="仿宋" w:eastAsia="仿宋" w:cs="仿宋"/>
          <w:sz w:val="32"/>
          <w:szCs w:val="32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21,919,982.51</w:t>
      </w:r>
      <w:r>
        <w:rPr>
          <w:rFonts w:hint="eastAsia" w:ascii="仿宋" w:hAnsi="仿宋" w:eastAsia="仿宋" w:cs="仿宋"/>
          <w:sz w:val="32"/>
          <w:szCs w:val="32"/>
        </w:rPr>
        <w:t>元，增加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8.29</w:t>
      </w:r>
      <w:r>
        <w:rPr>
          <w:rFonts w:hint="eastAsia" w:ascii="仿宋" w:hAnsi="仿宋" w:eastAsia="仿宋" w:cs="仿宋"/>
          <w:sz w:val="32"/>
          <w:szCs w:val="32"/>
        </w:rPr>
        <w:t>%。上涨原因有：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2020年基本完成第七次全国人口普查，加大对垃圾分类投入力度，推动西便门东里活动中心改造项目实施，加强党建引领推进党组织服务群众项目落地，强化街巷物业管理。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其中，公共预算财政拨款支出决算数284,100,678.10元，较2019年决算数264,321,632.05增加19,779,046.05元，增长率7.48%；政府性基金预算拨款支出决算数2,140,936.46元。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从支出构成角度看，2020年基本支出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75,011,146.14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元，占总支出26.21%（2019年占比26.14%）。项目支出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211,230,468.42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元，占总支出73.79%（2019年占比73.86%）。占比较去年基本持平。</w:t>
      </w:r>
    </w:p>
    <w:p>
      <w:pPr>
        <w:ind w:firstLine="640"/>
        <w:rPr>
          <w:rFonts w:hint="eastAsia"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年末结转结余2,178,864.78元，其中一般公共预算财政拨款支出结转结余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1,785,840.34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元，政府性基金预算财政拨款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393,024.44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9" w:name="_Toc16774"/>
      <w:r>
        <w:rPr>
          <w:rFonts w:hint="eastAsia" w:ascii="黑体" w:hAnsi="黑体" w:eastAsia="黑体" w:cs="黑体"/>
          <w:highlight w:val="none"/>
        </w:rPr>
        <w:t>三、20</w:t>
      </w:r>
      <w:r>
        <w:rPr>
          <w:rFonts w:hint="eastAsia" w:ascii="黑体" w:hAnsi="黑体" w:eastAsia="黑体" w:cs="黑体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highlight w:val="none"/>
        </w:rPr>
        <w:t>年一般公共预算财政拨款支出决算情况说明</w:t>
      </w:r>
      <w:bookmarkEnd w:id="9"/>
    </w:p>
    <w:p>
      <w:pPr>
        <w:pStyle w:val="4"/>
        <w:rPr>
          <w:rFonts w:hint="eastAsia" w:ascii="黑体" w:hAnsi="黑体" w:eastAsia="黑体" w:cs="黑体"/>
          <w:highlight w:val="none"/>
        </w:rPr>
      </w:pPr>
      <w:bookmarkStart w:id="10" w:name="_Toc22214"/>
      <w:r>
        <w:rPr>
          <w:rFonts w:hint="eastAsia" w:ascii="黑体" w:hAnsi="黑体" w:eastAsia="黑体" w:cs="黑体"/>
          <w:highlight w:val="none"/>
        </w:rPr>
        <w:t>（一）一般公共预算财政拨款支出决算总体情况</w:t>
      </w:r>
      <w:bookmarkEnd w:id="10"/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年财政拨款支出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286,241,614.56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元，主要用于以下方面(按大类)：一般公共服务支出（类）78,371,754.29元，占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27.38%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；国防支出（类）116,905.19元，占0.04%；公共安全支出（类）103,240.00元，占0.0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%；教育支出（类）365,680.99元，占0.13%；科学技术支出（类）30,000.00元，占0.01%；文化旅游体育与传媒支出（类）5,436,478.61元，占1.90%；社会保障和就业支出（类）111,779,298.69元，占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39.05%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；卫生健康支出（类）13,284,228.56元，占4.64%；城乡社区支出（类）64,980,816.75元，占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22.70%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；住房保障支出（类）9,286,982.00元，占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3.24%;灾害防治及应急管理支出（类）345,293.02元，占0.12%；其他支出（类）1,291,158.46元，占0.45%；抗疫特别国债安排的支出（类）849,778.00元，占0.30%。</w:t>
      </w:r>
    </w:p>
    <w:p>
      <w:pPr>
        <w:pStyle w:val="4"/>
        <w:rPr>
          <w:highlight w:val="yellow"/>
        </w:rPr>
      </w:pPr>
      <w:bookmarkStart w:id="11" w:name="_Toc19690"/>
      <w:r>
        <w:rPr>
          <w:rFonts w:hint="eastAsia" w:ascii="黑体" w:hAnsi="黑体" w:eastAsia="黑体" w:cs="黑体"/>
          <w:sz w:val="30"/>
          <w:szCs w:val="30"/>
          <w:highlight w:val="none"/>
        </w:rPr>
        <w:t>（二）一般公共预算财政拨款支出决算具体情况</w:t>
      </w:r>
      <w:bookmarkEnd w:id="11"/>
    </w:p>
    <w:p>
      <w:pPr>
        <w:numPr>
          <w:ilvl w:val="0"/>
          <w:numId w:val="1"/>
        </w:numPr>
        <w:tabs>
          <w:tab w:val="left" w:pos="0"/>
          <w:tab w:val="clear" w:pos="720"/>
        </w:tabs>
        <w:ind w:left="0" w:firstLine="720" w:firstLineChars="22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年支出决算按用途划分：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公共预算财政拨款284,100,678.10元，比20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年年初预算增加14,166,442.2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调增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4.99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%。其中：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基本支出决算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75,011,146.14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14938310.24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，调增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19.91%。主要原因是20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，基本支出相应增加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（2）项目支出决算211,230,468.42元。比20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17805610.21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调减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8.53%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按照区财政局要求，压减非重点、非刚性的一般性支出项目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28"/>
        <w:ind w:firstLine="800" w:firstLineChars="25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支出的主要项目是①广内街道街巷物业管理经费②社区工作者工资③西便门东里社区服务及活动中心项目经费④街巷物业环卫保洁经费⑤应急处突小分队服务工作经费⑥地区综合治理工作经费⑦公益性组织人员生活补贴⑧残疾人生活和护理补贴⑨低保人员最低生活保障金及低收入生活补贴⑩社区党组织服务群众经费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12" w:name="_Toc8705"/>
      <w:r>
        <w:rPr>
          <w:rFonts w:hint="eastAsia" w:ascii="黑体" w:hAnsi="黑体" w:eastAsia="黑体" w:cs="黑体"/>
          <w:highlight w:val="none"/>
        </w:rPr>
        <w:t>四、20</w:t>
      </w:r>
      <w:r>
        <w:rPr>
          <w:rFonts w:hint="eastAsia" w:ascii="黑体" w:hAnsi="黑体" w:eastAsia="黑体" w:cs="黑体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highlight w:val="none"/>
        </w:rPr>
        <w:t>年一般公共预算财政拨款基本支出决算情况说明</w:t>
      </w:r>
      <w:bookmarkEnd w:id="12"/>
    </w:p>
    <w:p>
      <w:pPr>
        <w:ind w:firstLine="739" w:firstLineChars="231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年财政拨款基本支出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75,011,146.14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元，其中：①工资福利支出69,093,541.41元（包括：基本工资、津贴补贴、奖金、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绩效工资、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关事业单位基本养老保险费、职业年金缴费、职工基本医疗保险缴费、其他社会保障缴费、医疗费、住房公积金、其他工资福利支出）②商品和服务支出4,485,292.73元（包括：办公费、印刷费、手续费、水费、电费、邮电费、差旅费、维修(护)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租赁费、委托业务费、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工会经费、福利费、公务用车运行维护费、其他商品和服务支出）③对个人和家庭的补助1,427,005.00元（包括离休费、退休费、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生活补助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救济费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、其他对个人和家庭补助支出）④资本性支出5,307.00元（包括：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其他资本性支出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3" w:name="_Toc12454"/>
      <w:r>
        <w:rPr>
          <w:rFonts w:hint="eastAsia" w:ascii="黑体" w:hAnsi="黑体" w:eastAsia="黑体" w:cs="黑体"/>
          <w:sz w:val="30"/>
          <w:szCs w:val="30"/>
          <w:highlight w:val="none"/>
        </w:rPr>
        <w:t>五、20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年一般公共预算财政拨款“三公”经费支出决算情况说明</w:t>
      </w:r>
      <w:bookmarkEnd w:id="13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4" w:name="_Toc32172"/>
      <w:r>
        <w:rPr>
          <w:rFonts w:hint="eastAsia" w:ascii="黑体" w:hAnsi="黑体" w:eastAsia="黑体" w:cs="黑体"/>
          <w:sz w:val="30"/>
          <w:szCs w:val="30"/>
          <w:highlight w:val="none"/>
        </w:rPr>
        <w:t>（一）“三公”经费财政拨款决算的单位范围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决算单位范围：北京市西城区财政局部门决算中因公出国（境）费、公务接待费、公务用车购置及运行维护费的支出单位包括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1单位，即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广安门内街道办事处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rPr>
          <w:highlight w:val="yellow"/>
        </w:rPr>
      </w:pPr>
      <w:bookmarkStart w:id="15" w:name="_Toc937"/>
      <w:r>
        <w:rPr>
          <w:rFonts w:hint="eastAsia" w:ascii="黑体" w:hAnsi="黑体" w:eastAsia="黑体" w:cs="黑体"/>
          <w:sz w:val="30"/>
          <w:szCs w:val="30"/>
          <w:highlight w:val="none"/>
        </w:rPr>
        <w:t>（二）“三公”经费财政拨款决算情况说明</w:t>
      </w:r>
      <w:bookmarkEnd w:id="15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年“三公”经费财政拨款支出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6302.85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年“三公”经费财政拨款年初预算54,625.52元，减少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48,322.67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1、因公出国（境）费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年因公出国（境）费支出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本年度本单位使用一般公共预算财政拨款安排的出国（境）团组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个,累计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人次，人均因公出国（境）费用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2、公务接待费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年公务接待费支出0元，比20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年年初预算减少30,125.52元，没有公务接待任务。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本年度本单位使用一般公共预算财政拨款支出的国内公务接待0批次，0次，共0元；外事接待0批次，0人次，0元。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3、公务用车购置及运行维护费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年公务用车购置及运行维护费支出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6302.85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18,197.15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元。其中:20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年公务用车购置费支出0元，与20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年年初预算一致。20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年公务用车运行维护费支出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6302.85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18,197.15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元，主要原因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根据财政局要求压减一般性支出，严控公车使用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,支出减少。年末一般公共预算财政拨款开支运行维护费的公务用车保有量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为市残联配置我单位特种车。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6" w:name="_Toc25266"/>
      <w:r>
        <w:rPr>
          <w:rFonts w:hint="eastAsia" w:ascii="黑体" w:hAnsi="黑体" w:eastAsia="黑体" w:cs="黑体"/>
          <w:sz w:val="30"/>
          <w:szCs w:val="30"/>
          <w:highlight w:val="none"/>
        </w:rPr>
        <w:t>六、20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年政府性基金预算财政拨款收入支出决算情况说明</w:t>
      </w:r>
      <w:bookmarkEnd w:id="16"/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政府性基金预算财政拨款上年结转结余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492,882.90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元，本年收入492,882.90元，本年支出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2,140,936.46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元，年末结转结余393,024.44元。其中：基本支出决算0元；项目支出决算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393,024.44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pStyle w:val="3"/>
        <w:rPr>
          <w:highlight w:val="yellow"/>
        </w:rPr>
      </w:pPr>
      <w:bookmarkStart w:id="17" w:name="_Toc2569"/>
      <w:r>
        <w:rPr>
          <w:rFonts w:hint="eastAsia" w:ascii="黑体" w:hAnsi="黑体" w:eastAsia="黑体" w:cs="黑体"/>
          <w:sz w:val="30"/>
          <w:szCs w:val="30"/>
          <w:highlight w:val="none"/>
        </w:rPr>
        <w:t>七、国有资本经营预算拨款收入支出决算情况说明</w:t>
      </w:r>
      <w:bookmarkEnd w:id="17"/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本单位20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年没有国有资本经营预算拨款收入,也没有国有资本经营预算拨款支出。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yellow"/>
        </w:rPr>
      </w:pPr>
      <w:bookmarkStart w:id="18" w:name="_Toc16476"/>
      <w:r>
        <w:rPr>
          <w:rFonts w:hint="eastAsia" w:ascii="黑体" w:hAnsi="黑体" w:eastAsia="黑体" w:cs="黑体"/>
          <w:sz w:val="30"/>
          <w:szCs w:val="30"/>
          <w:highlight w:val="none"/>
        </w:rPr>
        <w:t>八、20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年其他重要事项的情况说明</w:t>
      </w:r>
      <w:bookmarkEnd w:id="18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9" w:name="_Toc27466"/>
      <w:r>
        <w:rPr>
          <w:rFonts w:hint="eastAsia" w:ascii="黑体" w:hAnsi="黑体" w:eastAsia="黑体" w:cs="黑体"/>
          <w:sz w:val="30"/>
          <w:szCs w:val="30"/>
          <w:highlight w:val="none"/>
        </w:rPr>
        <w:t>（一）机关运行经费支出情况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年本单位履行一般行政事业管理职能、维持机关运行，用于一般公共预算安排的行政运行经费，合计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16,828,904.81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元，比201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16,368,601.85元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460,302.96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上涨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2.74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%。主要原因是20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办公用房房租上涨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20" w:name="_Toc18425"/>
      <w:r>
        <w:rPr>
          <w:rFonts w:hint="eastAsia" w:ascii="黑体" w:hAnsi="黑体" w:eastAsia="黑体" w:cs="黑体"/>
          <w:sz w:val="30"/>
          <w:szCs w:val="30"/>
          <w:highlight w:val="none"/>
        </w:rPr>
        <w:t>（二）政府采购支出情况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年政府采购支出金额62,102,756.28元，其中：政府采购货物支出1,057,893.97元，政府采购工程支出1,057,893.97元，政府采购服务支出1,057,893.97元。</w:t>
      </w:r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yellow"/>
        </w:rPr>
      </w:pPr>
      <w:bookmarkStart w:id="21" w:name="_Toc1014"/>
      <w:r>
        <w:rPr>
          <w:rFonts w:hint="eastAsia" w:ascii="黑体" w:hAnsi="黑体" w:eastAsia="黑体" w:cs="黑体"/>
          <w:sz w:val="30"/>
          <w:szCs w:val="30"/>
          <w:highlight w:val="none"/>
        </w:rPr>
        <w:t>（三）政府购买服务支出情况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个，决算金额56,113,948.45元。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主要项目是：①街巷物业环卫保洁经费②垃圾分类工作经费③广内街道街巷物业管理经费④应急处突小分队服务工作经费⑤《广内之声》印刷费⑥第七次全国人口普查经费。</w:t>
      </w:r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yellow"/>
        </w:rPr>
      </w:pPr>
      <w:bookmarkStart w:id="22" w:name="_Toc23188"/>
      <w:r>
        <w:rPr>
          <w:rFonts w:hint="eastAsia" w:ascii="黑体" w:hAnsi="黑体" w:eastAsia="黑体" w:cs="黑体"/>
          <w:sz w:val="30"/>
          <w:szCs w:val="30"/>
          <w:highlight w:val="none"/>
        </w:rPr>
        <w:t>（四）国有资产占用情况</w:t>
      </w:r>
      <w:bookmarkEnd w:id="22"/>
    </w:p>
    <w:p>
      <w:pPr>
        <w:spacing w:line="360" w:lineRule="auto"/>
        <w:ind w:firstLine="640" w:firstLineChars="200"/>
        <w:rPr>
          <w:rFonts w:ascii="微软雅黑" w:hAnsi="微软雅黑" w:eastAsia="微软雅黑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年底，本部门（含所属事业单位）固定资产总额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23,249,193.73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元，其中：车辆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台，196,410.26元；单位价值50万元以上的通用设备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台(套),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1,448,000.00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元;单位价值100万元以上的专用设备0台(套),0元。</w:t>
      </w:r>
    </w:p>
    <w:p>
      <w:pPr>
        <w:pStyle w:val="4"/>
        <w:rPr>
          <w:highlight w:val="none"/>
        </w:rPr>
      </w:pPr>
      <w:bookmarkStart w:id="23" w:name="_Toc29928"/>
      <w:r>
        <w:rPr>
          <w:rFonts w:hint="eastAsia" w:ascii="黑体" w:hAnsi="黑体" w:eastAsia="黑体" w:cs="黑体"/>
          <w:sz w:val="30"/>
          <w:szCs w:val="30"/>
          <w:highlight w:val="none"/>
        </w:rPr>
        <w:t>（五）绩效目标开展情况</w:t>
      </w:r>
      <w:bookmarkEnd w:id="23"/>
    </w:p>
    <w:p>
      <w:pPr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1、绩效跟踪开展情况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广内街道20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年绩效跟踪按照《西城区区级财政支出绩效跟踪管理办法》的要求共选取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39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个项目进行绩效跟踪，资金量共计182,581,086.70 元（年初预算批复），占全年项目支出总金额（不含基建支出）的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87.00%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2020年，广安门内街道根据市委、市政府的统一部署，在区委区政府的坚强领导下，一手抓疫情防控，一手抓工作落实，在确保地区防控工作“零输入、零感染、零输出”的基础上，各项工作任务有序推进，项目总体实施效果良好，保证了地区经济社会各项事业稳定健康发展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24" w:name="_Toc20887"/>
      <w:r>
        <w:rPr>
          <w:rFonts w:hint="eastAsia" w:ascii="黑体" w:hAnsi="黑体" w:eastAsia="黑体" w:cs="黑体"/>
          <w:highlight w:val="none"/>
        </w:rPr>
        <w:t>九、各类民生支出情况</w:t>
      </w:r>
      <w:bookmarkEnd w:id="24"/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我部门20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年度社会保障和就业、医疗卫生与计划生育支出等支出中涉及民生资金的共计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54,913,372.76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元，其中包括拥军优属、抚恤、老龄事务、残疾人事业、退役安置、临时救助、其他生活救助、医疗救助等。</w:t>
      </w:r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年度我街道分配到人（户）的财政资金主要为最低生活保障金，由社保所负责发放。低保金补助对象姓名、地址及金额等详细情况已由18个社区在社区公示栏公示。</w:t>
      </w:r>
    </w:p>
    <w:p>
      <w:pPr>
        <w:pStyle w:val="3"/>
        <w:rPr>
          <w:highlight w:val="none"/>
        </w:rPr>
      </w:pPr>
      <w:bookmarkStart w:id="25" w:name="_Toc26099"/>
      <w:r>
        <w:rPr>
          <w:rFonts w:hint="eastAsia" w:ascii="黑体" w:hAnsi="黑体" w:eastAsia="黑体" w:cs="黑体"/>
          <w:highlight w:val="none"/>
        </w:rPr>
        <w:t>十、专用名词解释</w:t>
      </w:r>
      <w:bookmarkEnd w:id="25"/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1、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640" w:firstLineChars="200"/>
        <w:rPr>
          <w:rFonts w:ascii="楷体_GB2312" w:hAnsi="宋体" w:eastAsia="楷体_GB2312"/>
          <w:b/>
          <w:sz w:val="36"/>
          <w:szCs w:val="36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、机关运行经费：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2"/>
        <w:rPr>
          <w:rFonts w:hint="eastAsia" w:ascii="楷体" w:hAnsi="楷体" w:eastAsia="楷体" w:cs="楷体"/>
          <w:highlight w:val="none"/>
        </w:rPr>
      </w:pPr>
      <w:bookmarkStart w:id="26" w:name="_Toc24913"/>
      <w:r>
        <w:rPr>
          <w:rFonts w:hint="eastAsia" w:ascii="楷体" w:hAnsi="楷体" w:eastAsia="楷体" w:cs="楷体"/>
          <w:highlight w:val="none"/>
        </w:rPr>
        <w:t>第二部分、20</w:t>
      </w:r>
      <w:r>
        <w:rPr>
          <w:rFonts w:hint="eastAsia" w:ascii="楷体" w:hAnsi="楷体" w:eastAsia="楷体" w:cs="楷体"/>
          <w:highlight w:val="none"/>
          <w:lang w:val="en-US" w:eastAsia="zh-CN"/>
        </w:rPr>
        <w:t>20</w:t>
      </w:r>
      <w:r>
        <w:rPr>
          <w:rFonts w:hint="eastAsia" w:ascii="楷体" w:hAnsi="楷体" w:eastAsia="楷体" w:cs="楷体"/>
          <w:highlight w:val="none"/>
        </w:rPr>
        <w:t>年部门决算表</w:t>
      </w:r>
      <w:bookmarkEnd w:id="26"/>
    </w:p>
    <w:p>
      <w:pPr>
        <w:pStyle w:val="3"/>
        <w:rPr>
          <w:sz w:val="30"/>
          <w:szCs w:val="30"/>
          <w:highlight w:val="none"/>
        </w:rPr>
      </w:pPr>
      <w:bookmarkStart w:id="27" w:name="_Toc24277"/>
      <w:r>
        <w:rPr>
          <w:rFonts w:hint="eastAsia" w:ascii="黑体" w:hAnsi="黑体" w:eastAsia="黑体" w:cs="黑体"/>
          <w:sz w:val="30"/>
          <w:szCs w:val="30"/>
          <w:highlight w:val="none"/>
        </w:rPr>
        <w:t>表一、收入支出决算总表</w:t>
      </w:r>
      <w:bookmarkEnd w:id="27"/>
    </w:p>
    <w:p>
      <w:pPr>
        <w:pStyle w:val="28"/>
        <w:ind w:firstLine="6720" w:firstLineChars="2400"/>
        <w:rPr>
          <w:rFonts w:ascii="楷体_GB2312" w:hAnsi="宋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9720" w:type="dxa"/>
        <w:tblInd w:w="-5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800"/>
        <w:gridCol w:w="3060"/>
        <w:gridCol w:w="16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收入项目类别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收入决算金额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支出项目类别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支出决算金额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预算内资金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287,690,555.44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一般公共预算收入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285,649,477.44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政府性基金预算收入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2,041,078.00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财政专户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行政事业性收费收入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其他预算外收入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111,779,298.69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批准留用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13,284,228.56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64,980,816.75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事业收入（不含事业单位预算外资金）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287,690,555.44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286,241,614.56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结余分配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729,923.90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结转下年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2,178,864.78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收入总计：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288,420,479.34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支出总计：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288,420,479.34</w:t>
            </w:r>
          </w:p>
        </w:tc>
      </w:tr>
    </w:tbl>
    <w:p>
      <w:pPr>
        <w:rPr>
          <w:highlight w:val="yellow"/>
        </w:rPr>
      </w:pPr>
      <w:r>
        <w:rPr>
          <w:highlight w:val="yellow"/>
        </w:rPr>
        <w:br w:type="page"/>
      </w:r>
    </w:p>
    <w:p>
      <w:pPr>
        <w:pStyle w:val="3"/>
        <w:rPr>
          <w:highlight w:val="none"/>
        </w:rPr>
      </w:pPr>
      <w:bookmarkStart w:id="28" w:name="_Toc3238"/>
      <w:r>
        <w:rPr>
          <w:rFonts w:hint="eastAsia" w:ascii="黑体" w:hAnsi="黑体" w:eastAsia="黑体" w:cs="黑体"/>
          <w:sz w:val="30"/>
          <w:szCs w:val="30"/>
          <w:highlight w:val="none"/>
        </w:rPr>
        <w:t>表二、收入决算表</w:t>
      </w:r>
      <w:bookmarkEnd w:id="28"/>
    </w:p>
    <w:p>
      <w:pPr>
        <w:rPr>
          <w:rFonts w:hint="default" w:ascii="黑体" w:hAnsi="Times New Roman" w:eastAsia="黑体"/>
          <w:szCs w:val="24"/>
          <w:highlight w:val="none"/>
          <w:lang w:val="en-US" w:eastAsia="zh-CN"/>
        </w:rPr>
      </w:pPr>
      <w:r>
        <w:rPr>
          <w:rFonts w:hint="eastAsia" w:ascii="黑体" w:hAnsi="Times New Roman" w:eastAsia="黑体"/>
          <w:szCs w:val="24"/>
          <w:highlight w:val="none"/>
          <w:lang w:val="en-US" w:eastAsia="zh-CN"/>
        </w:rPr>
        <w:t xml:space="preserve">                                                                </w:t>
      </w:r>
      <w:r>
        <w:rPr>
          <w:rFonts w:hint="eastAsia" w:ascii="楷体_GB2312" w:hAnsi="宋体" w:eastAsia="楷体_GB2312" w:cs="Times New Roman"/>
          <w:kern w:val="2"/>
          <w:sz w:val="28"/>
          <w:szCs w:val="28"/>
          <w:highlight w:val="none"/>
          <w:lang w:val="en-US" w:eastAsia="zh-CN" w:bidi="ar-SA"/>
        </w:rPr>
        <w:t xml:space="preserve"> 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245"/>
        <w:gridCol w:w="246"/>
        <w:gridCol w:w="3572"/>
        <w:gridCol w:w="1448"/>
        <w:gridCol w:w="1448"/>
        <w:gridCol w:w="224"/>
        <w:gridCol w:w="224"/>
        <w:gridCol w:w="224"/>
        <w:gridCol w:w="225"/>
        <w:gridCol w:w="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572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4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44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2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2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2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25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2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5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287,690,555.44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287,690,555.44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65,313,267.03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65,313,267.03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其他市场监督管理事务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113,242,053.59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113,242,053.59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59,866,498.11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59,866,498.11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59,329,154.01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59,329,154.01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12,064,236.10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12,064,236.10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1,929,585.48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1,929,585.48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4,256,500.00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4,256,500.00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2,396,452.00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2,396,452.00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1,357,165.00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1,357,165.00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5,267,399.20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5,267,399.20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5,195,419.70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5,195,419.70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其他退役安置支出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2,417,404.66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2,417,404.66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907,026.23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907,026.23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养老服务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1,235,698.43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1,235,698.43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4,455,594.23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4,455,594.23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4,455,594.23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4,455,594.23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721,113.79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721,113.79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721,113.79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721,113.79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13,262,065.00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13,262,065.00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6,616,947.22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6,616,947.22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18,180.00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18,180.00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18,180.00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18,180.00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65,143,507.75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65,143,507.75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43,765,680.76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43,765,680.76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43,765,680.76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43,765,680.76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3,927,717.00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3,927,717.00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1,191,300.00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1,191,300.00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1191300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1191300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691300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691300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抗疫相关支出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援企稳岗补贴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2340299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其他抗疫相关支出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338778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338778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0"/>
          <w:szCs w:val="30"/>
          <w:highlight w:val="yellow"/>
        </w:rPr>
      </w:pPr>
    </w:p>
    <w:p>
      <w:pPr>
        <w:rPr>
          <w:rFonts w:hint="eastAsia" w:ascii="黑体" w:hAnsi="黑体" w:eastAsia="黑体" w:cs="黑体"/>
          <w:sz w:val="30"/>
          <w:szCs w:val="30"/>
          <w:highlight w:val="yellow"/>
        </w:rPr>
      </w:pPr>
    </w:p>
    <w:p>
      <w:pPr>
        <w:rPr>
          <w:rFonts w:hint="eastAsia" w:ascii="黑体" w:hAnsi="黑体" w:eastAsia="黑体" w:cs="黑体"/>
          <w:sz w:val="30"/>
          <w:szCs w:val="30"/>
          <w:highlight w:val="yellow"/>
        </w:rPr>
      </w:pPr>
    </w:p>
    <w:p>
      <w:pPr>
        <w:pStyle w:val="3"/>
        <w:rPr>
          <w:highlight w:val="none"/>
        </w:rPr>
      </w:pPr>
      <w:bookmarkStart w:id="29" w:name="_Toc28809"/>
      <w:r>
        <w:rPr>
          <w:rFonts w:hint="eastAsia" w:ascii="黑体" w:hAnsi="黑体" w:eastAsia="黑体" w:cs="黑体"/>
          <w:sz w:val="30"/>
          <w:szCs w:val="30"/>
          <w:highlight w:val="none"/>
        </w:rPr>
        <w:t>表三、支出决算表</w:t>
      </w:r>
      <w:bookmarkEnd w:id="29"/>
    </w:p>
    <w:p>
      <w:pPr>
        <w:ind w:firstLine="560" w:firstLineChars="200"/>
        <w:jc w:val="right"/>
        <w:rPr>
          <w:rFonts w:ascii="楷体_GB2312" w:hAnsi="宋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p>
      <w:pPr>
        <w:rPr>
          <w:highlight w:val="yellow"/>
        </w:rPr>
      </w:pP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"/>
        <w:gridCol w:w="231"/>
        <w:gridCol w:w="437"/>
        <w:gridCol w:w="2140"/>
        <w:gridCol w:w="1700"/>
        <w:gridCol w:w="1070"/>
        <w:gridCol w:w="1480"/>
        <w:gridCol w:w="340"/>
        <w:gridCol w:w="360"/>
        <w:gridCol w:w="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038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0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07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34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33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8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254,110,610.44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60,918,950.89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193,191,659.55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26,275,162.96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65,313,267.03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其他市场监督管理事务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111,779,298.69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7144462.6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104,634,836.09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59,864,821.30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59,864,821.30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59,327,477.20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59,327,477.20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12,064,236.10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7144462.6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1,929,585.48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1929585.48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4,256,500.00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4,256,500.00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1,585,769.00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1,585,769.00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546,482.00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546,482.00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4,675,447.90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4,675,447.90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4,603,468.40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4,603,468.40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其他退役安置支出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2,517,914.66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2,517,914.66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1,035,936.23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1,035,936.23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养老服务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1,207,298.43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1,207,298.43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13,284,228.56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6481947.22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6,802,281.34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1013112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6,616,947.22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6,481,947.22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6166947.22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64,980,816.75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64,980,816.75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15149646.49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15149646.49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3,927,717.00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3927717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345293.02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345293.02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345293.02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345293.02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1291158.46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1291158.46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1291158.46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1291158.46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578796.56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578796.56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712361.9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712361.9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抗疫相关支出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援企稳岗补贴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2340299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其他抗疫相关支出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338778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highlight w:val="none"/>
        </w:rPr>
      </w:pPr>
      <w:bookmarkStart w:id="30" w:name="_Toc7049"/>
      <w:r>
        <w:rPr>
          <w:rFonts w:hint="eastAsia" w:ascii="黑体" w:hAnsi="黑体" w:eastAsia="黑体" w:cs="黑体"/>
          <w:sz w:val="30"/>
          <w:szCs w:val="30"/>
          <w:highlight w:val="none"/>
        </w:rPr>
        <w:t>表四、财政拨款收入支出决算总表</w:t>
      </w:r>
      <w:bookmarkEnd w:id="30"/>
    </w:p>
    <w:p>
      <w:pPr>
        <w:ind w:firstLine="560" w:firstLineChars="200"/>
        <w:jc w:val="right"/>
        <w:rPr>
          <w:rFonts w:ascii="楷体_GB2312" w:hAnsi="宋体" w:eastAsia="楷体_GB2312"/>
          <w:b/>
          <w:sz w:val="32"/>
          <w:szCs w:val="32"/>
          <w:highlight w:val="yellow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397"/>
        <w:gridCol w:w="2319"/>
        <w:gridCol w:w="1397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0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4917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3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12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285,649,477.44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2,041,078.00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111,779,298.69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13,284,228.56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64,980,816.75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二十三、债务还本支出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二十四、债务付息支出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287,690,555.44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284,100,678.10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2,140,936.46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729,923.90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1,785,840.34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393,024.44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237,041.00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基本支出结转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237,041.00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项目支出结转和结余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1,785,840.34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393,024.44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288,420,479.34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285,886,518.44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2,533,960.90</w:t>
            </w:r>
          </w:p>
        </w:tc>
      </w:tr>
    </w:tbl>
    <w:p>
      <w:pPr>
        <w:rPr>
          <w:rFonts w:ascii="黑体" w:hAnsi="Times New Roman" w:eastAsia="黑体"/>
          <w:szCs w:val="24"/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highlight w:val="none"/>
        </w:rPr>
      </w:pPr>
      <w:bookmarkStart w:id="31" w:name="_Toc31360"/>
      <w:r>
        <w:rPr>
          <w:rFonts w:hint="eastAsia" w:ascii="黑体" w:hAnsi="黑体" w:eastAsia="黑体" w:cs="黑体"/>
          <w:sz w:val="30"/>
          <w:szCs w:val="30"/>
          <w:highlight w:val="none"/>
        </w:rPr>
        <w:t>表五、一般公共预算财政拨款支出决算表</w:t>
      </w:r>
      <w:bookmarkEnd w:id="31"/>
    </w:p>
    <w:p>
      <w:pPr>
        <w:wordWrap w:val="0"/>
        <w:ind w:right="420" w:firstLine="560" w:firstLineChars="200"/>
        <w:jc w:val="right"/>
        <w:rPr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 xml:space="preserve">   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242"/>
        <w:gridCol w:w="674"/>
        <w:gridCol w:w="2290"/>
        <w:gridCol w:w="1760"/>
        <w:gridCol w:w="1530"/>
        <w:gridCol w:w="1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48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878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30"/>
                <w:lang w:val="en-US" w:eastAsia="zh-CN" w:bidi="ar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253,910,942.79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60,918,950.89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192,991,991.90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26,275,162.96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65,313,267.03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其他市场监督管理事务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111,779,298.69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7144462.6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104,634,836.09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59,864,821.30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59,864,821.30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59,327,477.20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59,327,477.20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12,064,236.10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7144462.6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1,929,585.48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1929585.48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4919773.5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4,256,500.00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1,585,769.00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1,585,769.00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546,482.00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546,482.00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4,675,447.90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4,675,447.90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4,603,468.40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4,603,468.40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其他退役安置支出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2,517,914.66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2,517,914.66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1,035,936.23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1,035,936.23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养老服务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1,207,298.43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1,207,298.43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13,284,228.56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6481947.22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6,802,281.34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6,616,947.22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6,481,947.22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64,980,816.75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64980816.75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3,927,717.00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3,927,717.00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2240106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highlight w:val="none"/>
        </w:rPr>
      </w:pPr>
      <w:bookmarkStart w:id="32" w:name="_Toc20965"/>
      <w:r>
        <w:rPr>
          <w:rFonts w:hint="eastAsia" w:ascii="黑体" w:hAnsi="黑体" w:eastAsia="黑体" w:cs="黑体"/>
          <w:sz w:val="30"/>
          <w:szCs w:val="30"/>
          <w:highlight w:val="none"/>
        </w:rPr>
        <w:t>表六、一般公共预算财政拨款基本支出决算表</w:t>
      </w:r>
      <w:bookmarkEnd w:id="32"/>
    </w:p>
    <w:p>
      <w:pPr>
        <w:wordWrap w:val="0"/>
        <w:ind w:firstLine="560" w:firstLineChars="200"/>
        <w:jc w:val="right"/>
        <w:rPr>
          <w:rFonts w:ascii="楷体_GB2312" w:hAnsi="宋体" w:eastAsia="楷体_GB2312"/>
          <w:sz w:val="28"/>
          <w:szCs w:val="28"/>
          <w:highlight w:val="yellow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595"/>
        <w:gridCol w:w="3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59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科目名称（款级）</w:t>
            </w:r>
          </w:p>
        </w:tc>
        <w:tc>
          <w:tcPr>
            <w:tcW w:w="353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69,093,541.41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7,959,230.00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27,538,418.61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9,733,907.00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5,981,675.00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1,929,585.48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228,916.50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30199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205,025.88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4,485,292.73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148,803.00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55,815.00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手续费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127,447.10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577,871.96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邮电费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129,992.02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18,568.00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52,174.00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885,765.96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34,983.20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130,839.60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343,566.33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6,302.85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30299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1,969,856.68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1,427,005.00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离休费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520,138.00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875,767.00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救济费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5,307.00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5,307.00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3" w:name="_Toc29255"/>
      <w:r>
        <w:rPr>
          <w:rFonts w:hint="eastAsia" w:ascii="黑体" w:hAnsi="黑体" w:eastAsia="黑体" w:cs="黑体"/>
          <w:sz w:val="30"/>
          <w:szCs w:val="30"/>
          <w:highlight w:val="none"/>
        </w:rPr>
        <w:t>表七、一般公共预算财政拨款“三公”经费支出决算表</w:t>
      </w:r>
      <w:bookmarkEnd w:id="33"/>
    </w:p>
    <w:p>
      <w:pPr>
        <w:wordWrap w:val="0"/>
        <w:ind w:right="420" w:firstLine="560" w:firstLineChars="200"/>
        <w:jc w:val="right"/>
        <w:rPr>
          <w:rFonts w:ascii="楷体_GB2312" w:hAnsi="宋体" w:eastAsia="楷体_GB2312"/>
          <w:sz w:val="28"/>
          <w:szCs w:val="28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408"/>
        <w:gridCol w:w="1039"/>
        <w:gridCol w:w="1267"/>
        <w:gridCol w:w="1267"/>
        <w:gridCol w:w="1039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267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573" w:type="dxa"/>
            <w:gridSpan w:val="3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公务用车购置及运行维护费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73" w:type="dxa"/>
            <w:gridSpan w:val="3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73" w:type="dxa"/>
            <w:gridSpan w:val="3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公务用车运行维护费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31"/>
                <w:highlight w:val="none"/>
                <w:lang w:val="en-US" w:eastAsia="zh-CN" w:bidi="ar"/>
              </w:rPr>
              <w:t>年预算数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54,625.52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30,125.52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24,500.00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24,500.00</w:t>
            </w:r>
            <w:r>
              <w:rPr>
                <w:rStyle w:val="32"/>
                <w:rFonts w:eastAsia="宋体"/>
                <w:highlight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31"/>
                <w:highlight w:val="none"/>
                <w:lang w:val="en-US" w:eastAsia="zh-CN" w:bidi="ar"/>
              </w:rPr>
              <w:t>年决算数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6,302.85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6,302.85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6,302.85</w:t>
            </w:r>
          </w:p>
        </w:tc>
      </w:tr>
    </w:tbl>
    <w:p>
      <w:pPr>
        <w:rPr>
          <w:szCs w:val="24"/>
          <w:highlight w:val="none"/>
        </w:rPr>
      </w:pPr>
    </w:p>
    <w:p>
      <w:pPr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>注：1、因公出国（境）费用含因公赴香港、澳门、台湾地区的费用。</w:t>
      </w:r>
    </w:p>
    <w:p>
      <w:pPr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 xml:space="preserve">    2、公务用车购置费含更新公务用车费用。</w:t>
      </w: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pStyle w:val="3"/>
        <w:rPr>
          <w:highlight w:val="none"/>
        </w:rPr>
      </w:pPr>
      <w:bookmarkStart w:id="34" w:name="_Toc21276"/>
      <w:r>
        <w:rPr>
          <w:rFonts w:hint="eastAsia" w:ascii="黑体" w:hAnsi="黑体" w:eastAsia="黑体" w:cs="黑体"/>
          <w:sz w:val="30"/>
          <w:szCs w:val="30"/>
          <w:highlight w:val="none"/>
        </w:rPr>
        <w:t>表八、政府性基金预算财政拨款收入支出决算表</w:t>
      </w:r>
      <w:bookmarkEnd w:id="34"/>
    </w:p>
    <w:p>
      <w:pPr>
        <w:wordWrap w:val="0"/>
        <w:ind w:right="420" w:firstLine="560" w:firstLineChars="200"/>
        <w:jc w:val="right"/>
        <w:rPr>
          <w:rFonts w:ascii="楷体_GB2312" w:hAnsi="宋体" w:eastAsia="楷体_GB2312"/>
          <w:sz w:val="28"/>
          <w:szCs w:val="28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27"/>
        <w:gridCol w:w="427"/>
        <w:gridCol w:w="1665"/>
        <w:gridCol w:w="887"/>
        <w:gridCol w:w="1060"/>
        <w:gridCol w:w="1060"/>
        <w:gridCol w:w="427"/>
        <w:gridCol w:w="1060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45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6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492,882.90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2,041,078.00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2,140,936.46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2,140,936.46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393,024.44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492,882.90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1,191,300.00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393,024.44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492,882.90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1,191,300.00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393,024.44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691,300.00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578,796.56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578,796.56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112,503.44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492,882.90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712,361.90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712,361.90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280,521.00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抗疫相关支出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2340204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援企稳岗补贴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511,000.00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511,000.00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511,000.00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其他抗疫相关支出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338,778.00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338,778.00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338,778.00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ascii="Times New Roman" w:hAnsi="Times New Roman"/>
          <w:szCs w:val="24"/>
          <w:highlight w:val="yellow"/>
        </w:rPr>
      </w:pPr>
    </w:p>
    <w:p>
      <w:pPr>
        <w:rPr>
          <w:rFonts w:ascii="Times New Roman" w:hAnsi="Times New Roman"/>
          <w:szCs w:val="24"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5" w:name="_Toc2460"/>
      <w:r>
        <w:rPr>
          <w:rFonts w:hint="eastAsia" w:ascii="黑体" w:hAnsi="黑体" w:eastAsia="黑体" w:cs="黑体"/>
          <w:sz w:val="30"/>
          <w:szCs w:val="30"/>
          <w:highlight w:val="none"/>
        </w:rPr>
        <w:t>表九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政府性基金预算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财政拨款基本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支出决算表</w:t>
      </w:r>
      <w:bookmarkEnd w:id="35"/>
    </w:p>
    <w:tbl>
      <w:tblPr>
        <w:tblStyle w:val="13"/>
        <w:tblW w:w="94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281"/>
        <w:gridCol w:w="4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科目编码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科目名称（款级）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eastAsia="zh-CN"/>
              </w:rPr>
              <w:t>政府性基金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预算财政拨款支出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301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工资福利支出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302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商品和服务支出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303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对个人和家庭的补助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310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其他资本性支出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</w:tbl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注：我单位无此项支出。</w:t>
      </w: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pStyle w:val="3"/>
        <w:rPr>
          <w:highlight w:val="none"/>
        </w:rPr>
      </w:pPr>
      <w:bookmarkStart w:id="36" w:name="_Toc15953"/>
      <w:r>
        <w:rPr>
          <w:rFonts w:hint="eastAsia" w:ascii="黑体" w:hAnsi="黑体" w:eastAsia="黑体" w:cs="黑体"/>
          <w:sz w:val="30"/>
          <w:szCs w:val="30"/>
          <w:highlight w:val="none"/>
        </w:rPr>
        <w:t>表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、国有资本经营预算拨款收入支出决算表</w:t>
      </w:r>
      <w:bookmarkEnd w:id="36"/>
    </w:p>
    <w:tbl>
      <w:tblPr>
        <w:tblStyle w:val="1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941"/>
        <w:gridCol w:w="3209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4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收          入</w:t>
            </w:r>
          </w:p>
        </w:tc>
        <w:tc>
          <w:tcPr>
            <w:tcW w:w="50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支         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科        目</w:t>
            </w:r>
          </w:p>
        </w:tc>
        <w:tc>
          <w:tcPr>
            <w:tcW w:w="194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32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科        目</w:t>
            </w:r>
          </w:p>
        </w:tc>
        <w:tc>
          <w:tcPr>
            <w:tcW w:w="18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收入合计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支出合计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本年收入合计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本年支出合计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动用上年结余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调出资金（调入一般公共预算）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年终结余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  <w:highlight w:val="none"/>
              </w:rPr>
              <w:t>收入总计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支 出 总 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</w:tbl>
    <w:p>
      <w:pPr>
        <w:widowControl/>
        <w:rPr>
          <w:b/>
          <w:sz w:val="20"/>
          <w:szCs w:val="20"/>
          <w:highlight w:val="yellow"/>
        </w:rPr>
      </w:pPr>
    </w:p>
    <w:p>
      <w:pPr>
        <w:widowControl/>
        <w:rPr>
          <w:rFonts w:hint="eastAsia" w:eastAsia="宋体"/>
          <w:b/>
          <w:sz w:val="20"/>
          <w:szCs w:val="20"/>
          <w:highlight w:val="yellow"/>
          <w:lang w:eastAsia="zh-CN"/>
        </w:rPr>
      </w:pPr>
      <w:r>
        <w:rPr>
          <w:rFonts w:hint="eastAsia"/>
          <w:b/>
          <w:sz w:val="20"/>
          <w:szCs w:val="20"/>
          <w:highlight w:val="none"/>
          <w:lang w:eastAsia="zh-CN"/>
        </w:rPr>
        <w:t>注：我单位无此项支出。</w:t>
      </w: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7" w:name="_Toc11786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、政府采购情况表</w:t>
      </w:r>
      <w:bookmarkEnd w:id="37"/>
    </w:p>
    <w:tbl>
      <w:tblPr>
        <w:tblStyle w:val="13"/>
        <w:tblW w:w="9490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26"/>
        <w:gridCol w:w="1646"/>
        <w:gridCol w:w="1646"/>
        <w:gridCol w:w="1646"/>
        <w:gridCol w:w="1178"/>
        <w:gridCol w:w="1232"/>
        <w:gridCol w:w="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426" w:type="dxa"/>
            <w:vMerge w:val="restart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行次</w:t>
            </w:r>
          </w:p>
        </w:tc>
        <w:tc>
          <w:tcPr>
            <w:tcW w:w="8198" w:type="dxa"/>
            <w:gridSpan w:val="6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实际采购金额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总计</w:t>
            </w:r>
          </w:p>
        </w:tc>
        <w:tc>
          <w:tcPr>
            <w:tcW w:w="5702" w:type="dxa"/>
            <w:gridSpan w:val="4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采购预算(财政性资金)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非财政性资金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一般公共预算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政府性基金预算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其他资金</w:t>
            </w: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栏次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合      计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62,102,756.28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62,102,756.28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62,102,756.28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货物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1,057,893.97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1,057,893.97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1,057,893.97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工程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12,389,991.82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12,389,991.82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12,389,991.82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服务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48,654,870.49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48,654,870.49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48,654,870.49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8" w:name="_Toc12809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、政府购买服务情况表</w:t>
      </w:r>
      <w:bookmarkEnd w:id="38"/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140"/>
        <w:gridCol w:w="551"/>
        <w:gridCol w:w="1140"/>
        <w:gridCol w:w="697"/>
        <w:gridCol w:w="1774"/>
        <w:gridCol w:w="1149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一级目录编码</w:t>
            </w:r>
          </w:p>
        </w:tc>
        <w:tc>
          <w:tcPr>
            <w:tcW w:w="1140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一级目录名称</w:t>
            </w:r>
          </w:p>
        </w:tc>
        <w:tc>
          <w:tcPr>
            <w:tcW w:w="551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二级目录编码</w:t>
            </w:r>
          </w:p>
        </w:tc>
        <w:tc>
          <w:tcPr>
            <w:tcW w:w="1140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二级目录名称</w:t>
            </w:r>
          </w:p>
        </w:tc>
        <w:tc>
          <w:tcPr>
            <w:tcW w:w="697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功能分类代码</w:t>
            </w:r>
          </w:p>
        </w:tc>
        <w:tc>
          <w:tcPr>
            <w:tcW w:w="1774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功能分类名称</w:t>
            </w:r>
          </w:p>
        </w:tc>
        <w:tc>
          <w:tcPr>
            <w:tcW w:w="1149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149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restart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40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基本公共服务</w:t>
            </w: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1,600,000.00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1,438,412.78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扶贫济困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人口和计划生育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2010507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4,460,000.00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3,855,676.90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2,291,600.00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1,094,735.62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2013602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4,104,000.00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环境治理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5,150,000.00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4,293,994.72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城市维护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33,050,000.00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32,841,074.21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restart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0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社会管理性服务</w:t>
            </w: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社会工作服务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527,907.00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398,394.09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志愿服务运营管理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公共公益宣传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583,004.00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582,980.00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restart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1140" w:type="dxa"/>
            <w:vMerge w:val="restart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政府履职所需辅助性服务</w:t>
            </w: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E03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财务会计审计服务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172,087.70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E06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73,290.15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E11</w:t>
            </w:r>
          </w:p>
        </w:tc>
        <w:tc>
          <w:tcPr>
            <w:tcW w:w="1140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机关信息系统建设与维护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restart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E12</w:t>
            </w:r>
          </w:p>
        </w:tc>
        <w:tc>
          <w:tcPr>
            <w:tcW w:w="1140" w:type="dxa"/>
            <w:vMerge w:val="restart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2,535,969.75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2,524,987.75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226,320.00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226,320.00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2120104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2,916,000.00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2,903,394.53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576,000.00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yellow"/>
        </w:rPr>
      </w:pPr>
      <w:bookmarkStart w:id="39" w:name="_Toc30334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、民生预算明细表</w:t>
      </w:r>
      <w:bookmarkEnd w:id="39"/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8"/>
        <w:gridCol w:w="467"/>
        <w:gridCol w:w="967"/>
        <w:gridCol w:w="3882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功能分类代码</w:t>
            </w:r>
          </w:p>
        </w:tc>
        <w:tc>
          <w:tcPr>
            <w:tcW w:w="1228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功能分类名称</w:t>
            </w:r>
          </w:p>
        </w:tc>
        <w:tc>
          <w:tcPr>
            <w:tcW w:w="467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政府经济分类代码</w:t>
            </w:r>
          </w:p>
        </w:tc>
        <w:tc>
          <w:tcPr>
            <w:tcW w:w="967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政府经济分类名称</w:t>
            </w:r>
          </w:p>
        </w:tc>
        <w:tc>
          <w:tcPr>
            <w:tcW w:w="3882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37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居委会老积极分子补贴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297518.00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社会化退休人员活动费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民政募捐和殡葬工作经费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民生保障工作经费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177344.10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原街道退休退养人员生活补贴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344000.00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地退人员活动经费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民政地退人员生活补贴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4364000.00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离退休人员活动经费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192233.50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公益性组织人员生活补贴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2458590.00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再就业活动经费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再就业活动经费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京财社指[2020]1228号 2020年就业补助经费（直达资金）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1736310.00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优抚伤残人员抚恤及生活补贴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645939.00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393348.00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提前下达2020年中央财政优抚对象补助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1257165.00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京财社指[2020]1568号 中央财政2020年优抚对象补助经费（第一批）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京财社指[2020]1580号 中央财政2020年优抚对象补助经费（第二批）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军队离休人员生活补贴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京财社指[2019]2472号2020年中央退役安置补助经费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4028761.40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京财社指[2019]2667号 退役安置市级补助资金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119070.00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京财社指[2019]2673号 2020年第二批社会保障和就业补助及福彩公益金专项转移支付资金-退役安置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430040.30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京财社指[2020]1815号 退役安置市级补助资金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118548.00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其他退役安置支出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退役军人服务保障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71979.50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儿童福利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京财社指【2020】1124号 困境儿童关爱服务资金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儿童福利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京财社指[2020]1223号 2020年中央困难群众救助补助经费（直达资金）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街道为老服务经费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907026.23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京财预指[2020]1214号 2020年特殊转移支付居家养老帮扶项目-养老护理员培训经费（直达资金）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居民生活福利支出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 1027号2020年价格临时补贴经费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355850.00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居民生活福利支出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 1119号2020年价格临时补贴经费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805169.63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社区“四就近”服务管理经费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46278.80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京财社指[2019]2166号 离休干部高龄养老社区“四就近”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残疾人项目及活动工作经费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419379.22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残疾人职业康复劳动及社区公益性就业经费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112475.00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温馨家园运行经费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752809.31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残疾人补贴经费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3170930.70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2081699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其他红十字事业支出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红会工作经费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低保人员最低生活保障金及低收入生活补贴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14180000.00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低保人员最低生活保障金及低收入生活补贴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531114.56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救助所工作职能经费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京财社指[2020]1216号 2020年中央财政困难群众救助补助（第二批）经费（直达资金）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119080.50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京财社指[2020]1231号 2020年中央财政困难群众基本生活救助补助经费（直达资金）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449319.00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京财社指[2020]1223号 2020年中央困难群众救助补助经费（直达资金）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243215.17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无业人员丧葬费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低保、失业及社会化退休人员取暖补贴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精神病、病残知青等其他社会救济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999965.27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失业、低保及其他民政人员两节慰问补贴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616400.00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低保、失业及社会化退休人员取暖补贴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民政双拥工作经费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148005.00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大型送温暖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京财社指[2019]2166号 提前下达2020年送温暖资金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300313.79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京财社指〔2020〕1127号 国有企业退休人员社会化管理服务补助经费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1013112.00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低保及低收入家庭医疗救助补贴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3530705.15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京财社指[2020]1218号 2020年医疗救助补助经费（直达资金）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26075.90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京财社指[2020]1334号 2020年中央财政医疗救助补助资金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191844.00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其他医疗救助支出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90周岁以上无保障老人医疗保险补贴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2101401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优抚对象医疗补助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提前下达2020年中央财政优抚对象医疗补助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民政社区老龄工作经费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退养人员医药费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1274646.63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精防补贴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495804.10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用于社会福利的彩票公益金支出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京财社指[2019]2167号 福彩公益金转移支付-因素法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632250.00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用于社会福利的彩票公益金支出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京财社指［2019］2167号 福彩公益金转移支付-因素法分配资金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2340204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援企稳岗补贴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京财预指[2020]1215号 稳企业扩岗位促就业补贴经费（直达资金）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511000.00 </w:t>
            </w:r>
          </w:p>
        </w:tc>
      </w:tr>
    </w:tbl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303"/>
    <w:multiLevelType w:val="multilevel"/>
    <w:tmpl w:val="01025303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D6"/>
    <w:rsid w:val="0007528B"/>
    <w:rsid w:val="0008304E"/>
    <w:rsid w:val="000832F1"/>
    <w:rsid w:val="00093ABF"/>
    <w:rsid w:val="0009530E"/>
    <w:rsid w:val="000C7149"/>
    <w:rsid w:val="000E337E"/>
    <w:rsid w:val="000E7F70"/>
    <w:rsid w:val="000F3FD1"/>
    <w:rsid w:val="00104E65"/>
    <w:rsid w:val="0012313F"/>
    <w:rsid w:val="0014627F"/>
    <w:rsid w:val="00196F66"/>
    <w:rsid w:val="001A4BE3"/>
    <w:rsid w:val="001B6C46"/>
    <w:rsid w:val="001C29DF"/>
    <w:rsid w:val="001C618A"/>
    <w:rsid w:val="001D2404"/>
    <w:rsid w:val="001D40FC"/>
    <w:rsid w:val="001D669A"/>
    <w:rsid w:val="001E439E"/>
    <w:rsid w:val="001E4C8A"/>
    <w:rsid w:val="001E7F78"/>
    <w:rsid w:val="001F5FCA"/>
    <w:rsid w:val="001F694E"/>
    <w:rsid w:val="00202A88"/>
    <w:rsid w:val="002037C0"/>
    <w:rsid w:val="00210B6D"/>
    <w:rsid w:val="00230EE0"/>
    <w:rsid w:val="00250729"/>
    <w:rsid w:val="002573F9"/>
    <w:rsid w:val="00263C43"/>
    <w:rsid w:val="00267EAF"/>
    <w:rsid w:val="00277B77"/>
    <w:rsid w:val="00293B28"/>
    <w:rsid w:val="00296BC9"/>
    <w:rsid w:val="00297DD6"/>
    <w:rsid w:val="002A3C5C"/>
    <w:rsid w:val="002A5A08"/>
    <w:rsid w:val="002E67BE"/>
    <w:rsid w:val="002F0419"/>
    <w:rsid w:val="00357E46"/>
    <w:rsid w:val="003643AB"/>
    <w:rsid w:val="00371D41"/>
    <w:rsid w:val="003872B5"/>
    <w:rsid w:val="00392C2F"/>
    <w:rsid w:val="003938F6"/>
    <w:rsid w:val="003942F8"/>
    <w:rsid w:val="003A711F"/>
    <w:rsid w:val="003C343C"/>
    <w:rsid w:val="003E031C"/>
    <w:rsid w:val="003E49E1"/>
    <w:rsid w:val="0041598E"/>
    <w:rsid w:val="00440204"/>
    <w:rsid w:val="004540ED"/>
    <w:rsid w:val="004778D6"/>
    <w:rsid w:val="00483CA0"/>
    <w:rsid w:val="0049633C"/>
    <w:rsid w:val="004A7C6C"/>
    <w:rsid w:val="004C4764"/>
    <w:rsid w:val="004D72BB"/>
    <w:rsid w:val="004F3AFA"/>
    <w:rsid w:val="004F5722"/>
    <w:rsid w:val="00502051"/>
    <w:rsid w:val="00513A09"/>
    <w:rsid w:val="0052182F"/>
    <w:rsid w:val="005237E8"/>
    <w:rsid w:val="005250A6"/>
    <w:rsid w:val="00526BB0"/>
    <w:rsid w:val="005508F0"/>
    <w:rsid w:val="00550CEA"/>
    <w:rsid w:val="0056784C"/>
    <w:rsid w:val="00581A4F"/>
    <w:rsid w:val="00587015"/>
    <w:rsid w:val="005B1D9E"/>
    <w:rsid w:val="005B670C"/>
    <w:rsid w:val="005E0239"/>
    <w:rsid w:val="005E070F"/>
    <w:rsid w:val="005F1EAD"/>
    <w:rsid w:val="006030B3"/>
    <w:rsid w:val="00607701"/>
    <w:rsid w:val="006467A9"/>
    <w:rsid w:val="006B183A"/>
    <w:rsid w:val="006B1F6D"/>
    <w:rsid w:val="006B7EDA"/>
    <w:rsid w:val="006C05AD"/>
    <w:rsid w:val="006E4206"/>
    <w:rsid w:val="006E506C"/>
    <w:rsid w:val="006F0B32"/>
    <w:rsid w:val="007125A5"/>
    <w:rsid w:val="00713F0D"/>
    <w:rsid w:val="00747797"/>
    <w:rsid w:val="00777491"/>
    <w:rsid w:val="00791E92"/>
    <w:rsid w:val="007D091B"/>
    <w:rsid w:val="007D3B2B"/>
    <w:rsid w:val="00802A62"/>
    <w:rsid w:val="0084277E"/>
    <w:rsid w:val="00842AB2"/>
    <w:rsid w:val="00852AAE"/>
    <w:rsid w:val="008A5E6C"/>
    <w:rsid w:val="008C41FA"/>
    <w:rsid w:val="008C67E9"/>
    <w:rsid w:val="008D6722"/>
    <w:rsid w:val="008F75B1"/>
    <w:rsid w:val="00905FE0"/>
    <w:rsid w:val="00914FE7"/>
    <w:rsid w:val="00924077"/>
    <w:rsid w:val="00962B62"/>
    <w:rsid w:val="00984B58"/>
    <w:rsid w:val="009936E5"/>
    <w:rsid w:val="00996A7A"/>
    <w:rsid w:val="009C420F"/>
    <w:rsid w:val="009D4A4E"/>
    <w:rsid w:val="009E4E0E"/>
    <w:rsid w:val="009E62F2"/>
    <w:rsid w:val="00A25936"/>
    <w:rsid w:val="00A42D0F"/>
    <w:rsid w:val="00A433AD"/>
    <w:rsid w:val="00A86945"/>
    <w:rsid w:val="00A918B3"/>
    <w:rsid w:val="00A9369B"/>
    <w:rsid w:val="00AA2EC4"/>
    <w:rsid w:val="00AD2A1A"/>
    <w:rsid w:val="00AD3ABE"/>
    <w:rsid w:val="00AF58DE"/>
    <w:rsid w:val="00B244BC"/>
    <w:rsid w:val="00B67A43"/>
    <w:rsid w:val="00B83385"/>
    <w:rsid w:val="00B85BBC"/>
    <w:rsid w:val="00B90F43"/>
    <w:rsid w:val="00BA2738"/>
    <w:rsid w:val="00BA316A"/>
    <w:rsid w:val="00BC6F81"/>
    <w:rsid w:val="00BD578A"/>
    <w:rsid w:val="00BE4DCA"/>
    <w:rsid w:val="00C010CE"/>
    <w:rsid w:val="00C07331"/>
    <w:rsid w:val="00C170CE"/>
    <w:rsid w:val="00C3176B"/>
    <w:rsid w:val="00C31ABE"/>
    <w:rsid w:val="00C32167"/>
    <w:rsid w:val="00C468D0"/>
    <w:rsid w:val="00C72A17"/>
    <w:rsid w:val="00C76B01"/>
    <w:rsid w:val="00C812CB"/>
    <w:rsid w:val="00C85B8E"/>
    <w:rsid w:val="00CB6AA6"/>
    <w:rsid w:val="00CD66A7"/>
    <w:rsid w:val="00CD71AA"/>
    <w:rsid w:val="00CE50D1"/>
    <w:rsid w:val="00CF7672"/>
    <w:rsid w:val="00D013F8"/>
    <w:rsid w:val="00D01C88"/>
    <w:rsid w:val="00D045D6"/>
    <w:rsid w:val="00D07B75"/>
    <w:rsid w:val="00D106F0"/>
    <w:rsid w:val="00D108A8"/>
    <w:rsid w:val="00D14225"/>
    <w:rsid w:val="00D147AA"/>
    <w:rsid w:val="00D20D4E"/>
    <w:rsid w:val="00D25F71"/>
    <w:rsid w:val="00D36B6B"/>
    <w:rsid w:val="00D42D7C"/>
    <w:rsid w:val="00D6750E"/>
    <w:rsid w:val="00D818D7"/>
    <w:rsid w:val="00D836C4"/>
    <w:rsid w:val="00DA0A3D"/>
    <w:rsid w:val="00DC7DB9"/>
    <w:rsid w:val="00E1637F"/>
    <w:rsid w:val="00E22CF6"/>
    <w:rsid w:val="00E35F34"/>
    <w:rsid w:val="00E51214"/>
    <w:rsid w:val="00E55438"/>
    <w:rsid w:val="00E72C9D"/>
    <w:rsid w:val="00E76512"/>
    <w:rsid w:val="00E87298"/>
    <w:rsid w:val="00EA3A8B"/>
    <w:rsid w:val="00ED3FAC"/>
    <w:rsid w:val="00F27D01"/>
    <w:rsid w:val="00F3526D"/>
    <w:rsid w:val="00F43E36"/>
    <w:rsid w:val="00F44763"/>
    <w:rsid w:val="00F57E65"/>
    <w:rsid w:val="00F74FBF"/>
    <w:rsid w:val="00F75E0D"/>
    <w:rsid w:val="00F80D2C"/>
    <w:rsid w:val="00F96157"/>
    <w:rsid w:val="00FA22D5"/>
    <w:rsid w:val="00FA64C4"/>
    <w:rsid w:val="00FB1F61"/>
    <w:rsid w:val="00FE1ADD"/>
    <w:rsid w:val="013062E0"/>
    <w:rsid w:val="013F4AE8"/>
    <w:rsid w:val="04F0517F"/>
    <w:rsid w:val="07375D07"/>
    <w:rsid w:val="082A37DE"/>
    <w:rsid w:val="09CE6D1B"/>
    <w:rsid w:val="09EE155C"/>
    <w:rsid w:val="0A637B17"/>
    <w:rsid w:val="0AAD73C7"/>
    <w:rsid w:val="0B214CB5"/>
    <w:rsid w:val="0C6C214A"/>
    <w:rsid w:val="0F2C6C84"/>
    <w:rsid w:val="0FB757C1"/>
    <w:rsid w:val="10C41158"/>
    <w:rsid w:val="10DB41DF"/>
    <w:rsid w:val="116C55BE"/>
    <w:rsid w:val="11A675B4"/>
    <w:rsid w:val="12B2721C"/>
    <w:rsid w:val="1331753E"/>
    <w:rsid w:val="1771353C"/>
    <w:rsid w:val="19DE1D53"/>
    <w:rsid w:val="19ED2A1E"/>
    <w:rsid w:val="19F05E95"/>
    <w:rsid w:val="1AE41109"/>
    <w:rsid w:val="1B442537"/>
    <w:rsid w:val="1C9D1122"/>
    <w:rsid w:val="1D2A7622"/>
    <w:rsid w:val="1D532999"/>
    <w:rsid w:val="1E516EF5"/>
    <w:rsid w:val="1E582E1C"/>
    <w:rsid w:val="1E914D7E"/>
    <w:rsid w:val="1FEC3BA6"/>
    <w:rsid w:val="20135E30"/>
    <w:rsid w:val="20EF4BE3"/>
    <w:rsid w:val="229B673B"/>
    <w:rsid w:val="24187812"/>
    <w:rsid w:val="273B0A32"/>
    <w:rsid w:val="275D3780"/>
    <w:rsid w:val="287A4F56"/>
    <w:rsid w:val="287D70F8"/>
    <w:rsid w:val="28CD7029"/>
    <w:rsid w:val="29C72203"/>
    <w:rsid w:val="29E050D8"/>
    <w:rsid w:val="2E6F3676"/>
    <w:rsid w:val="2E86474F"/>
    <w:rsid w:val="30DF004D"/>
    <w:rsid w:val="30FC0355"/>
    <w:rsid w:val="33D72E97"/>
    <w:rsid w:val="37B15108"/>
    <w:rsid w:val="38F06475"/>
    <w:rsid w:val="3A654BD8"/>
    <w:rsid w:val="3B992160"/>
    <w:rsid w:val="3C35119F"/>
    <w:rsid w:val="3DCD6690"/>
    <w:rsid w:val="3E1A4485"/>
    <w:rsid w:val="3E713699"/>
    <w:rsid w:val="3ED3745D"/>
    <w:rsid w:val="3F2E4D4A"/>
    <w:rsid w:val="42CF3F12"/>
    <w:rsid w:val="43166012"/>
    <w:rsid w:val="43191ADC"/>
    <w:rsid w:val="433C01C8"/>
    <w:rsid w:val="437E0D67"/>
    <w:rsid w:val="46FC28E3"/>
    <w:rsid w:val="490659BA"/>
    <w:rsid w:val="491B152C"/>
    <w:rsid w:val="4DDA3370"/>
    <w:rsid w:val="51477BDF"/>
    <w:rsid w:val="528D3434"/>
    <w:rsid w:val="54D07051"/>
    <w:rsid w:val="558D3EF6"/>
    <w:rsid w:val="55940FE6"/>
    <w:rsid w:val="55E11D04"/>
    <w:rsid w:val="561B062B"/>
    <w:rsid w:val="57560767"/>
    <w:rsid w:val="576077C5"/>
    <w:rsid w:val="592C3709"/>
    <w:rsid w:val="59BA6CE9"/>
    <w:rsid w:val="5CF53014"/>
    <w:rsid w:val="5E803BC8"/>
    <w:rsid w:val="5FA278E2"/>
    <w:rsid w:val="60BD3FA9"/>
    <w:rsid w:val="65C05EB5"/>
    <w:rsid w:val="65ED6864"/>
    <w:rsid w:val="685A205B"/>
    <w:rsid w:val="689B1EAA"/>
    <w:rsid w:val="6CFB4632"/>
    <w:rsid w:val="6D6703D5"/>
    <w:rsid w:val="6E237CF4"/>
    <w:rsid w:val="6E772FB4"/>
    <w:rsid w:val="72470889"/>
    <w:rsid w:val="731E4511"/>
    <w:rsid w:val="74B16D69"/>
    <w:rsid w:val="757E24C0"/>
    <w:rsid w:val="759146D4"/>
    <w:rsid w:val="764305D2"/>
    <w:rsid w:val="780B6DBF"/>
    <w:rsid w:val="79890116"/>
    <w:rsid w:val="7A25404E"/>
    <w:rsid w:val="7E11080A"/>
    <w:rsid w:val="7F6A0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1">
    <w:name w:val="页眉 Char"/>
    <w:basedOn w:val="15"/>
    <w:link w:val="9"/>
    <w:qFormat/>
    <w:uiPriority w:val="0"/>
    <w:rPr>
      <w:sz w:val="18"/>
      <w:szCs w:val="18"/>
    </w:rPr>
  </w:style>
  <w:style w:type="character" w:customStyle="1" w:styleId="22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5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批注主题 Char"/>
    <w:basedOn w:val="23"/>
    <w:link w:val="12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5">
    <w:name w:val="批注框文本 Char"/>
    <w:basedOn w:val="15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6">
    <w:name w:val="Char Char Char1 Char Char Char Char"/>
    <w:basedOn w:val="1"/>
    <w:qFormat/>
    <w:uiPriority w:val="0"/>
    <w:rPr>
      <w:rFonts w:ascii="宋体" w:hAnsi="宋体"/>
      <w:b/>
      <w:kern w:val="0"/>
      <w:sz w:val="28"/>
      <w:szCs w:val="28"/>
      <w:lang w:eastAsia="en-US"/>
    </w:rPr>
  </w:style>
  <w:style w:type="character" w:customStyle="1" w:styleId="27">
    <w:name w:val="fontstyle01"/>
    <w:basedOn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0">
    <w:name w:val="font21"/>
    <w:basedOn w:val="1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1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51"/>
    <w:basedOn w:val="15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74D5B-4D7C-4F2A-979F-20946B681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48</Pages>
  <Words>5772</Words>
  <Characters>32902</Characters>
  <Lines>274</Lines>
  <Paragraphs>77</Paragraphs>
  <TotalTime>8</TotalTime>
  <ScaleCrop>false</ScaleCrop>
  <LinksUpToDate>false</LinksUpToDate>
  <CharactersWithSpaces>38597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2018-08-23T03:11:00Z</dcterms:created>
  <dc:creator>北京市西城区人民政府广安门内街道办事处（主管）</dc:creator>
  <cp:lastModifiedBy>a</cp:lastModifiedBy>
  <dcterms:modified xsi:type="dcterms:W3CDTF">2021-09-07T05:35:34Z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