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楷体" w:eastAsia="方正小标宋简体" w:cs="楷体"/>
          <w:b/>
          <w:bCs/>
          <w:sz w:val="36"/>
          <w:szCs w:val="36"/>
        </w:rPr>
      </w:pPr>
      <w:r>
        <w:rPr>
          <w:rFonts w:hint="eastAsia" w:ascii="方正小标宋简体" w:hAnsi="楷体" w:eastAsia="方正小标宋简体" w:cs="楷体"/>
          <w:b/>
          <w:bCs/>
          <w:sz w:val="36"/>
          <w:szCs w:val="36"/>
        </w:rPr>
        <w:t>北京市西城区广内社区卫生服务中心</w:t>
      </w:r>
    </w:p>
    <w:p>
      <w:pPr>
        <w:jc w:val="center"/>
        <w:rPr>
          <w:rFonts w:ascii="方正小标宋简体" w:hAnsi="楷体" w:eastAsia="方正小标宋简体" w:cs="楷体"/>
          <w:b/>
          <w:bCs/>
          <w:sz w:val="36"/>
          <w:szCs w:val="36"/>
        </w:rPr>
      </w:pPr>
      <w:r>
        <w:rPr>
          <w:rFonts w:ascii="方正小标宋简体" w:hAnsi="楷体" w:eastAsia="方正小标宋简体" w:cs="楷体"/>
          <w:b/>
          <w:bCs/>
          <w:sz w:val="36"/>
          <w:szCs w:val="36"/>
        </w:rPr>
        <w:t>20</w:t>
      </w:r>
      <w:r>
        <w:rPr>
          <w:rFonts w:hint="eastAsia" w:ascii="方正小标宋简体" w:hAnsi="楷体" w:eastAsia="方正小标宋简体" w:cs="楷体"/>
          <w:b/>
          <w:bCs/>
          <w:sz w:val="36"/>
          <w:szCs w:val="36"/>
        </w:rPr>
        <w:t>20年部门决算</w:t>
      </w:r>
    </w:p>
    <w:p>
      <w:pPr>
        <w:jc w:val="center"/>
        <w:rPr>
          <w:rFonts w:ascii="仿宋_GB2312" w:hAnsi="仿宋"/>
          <w:b/>
          <w:bCs/>
          <w:sz w:val="32"/>
          <w:szCs w:val="32"/>
        </w:rPr>
      </w:pPr>
    </w:p>
    <w:p>
      <w:pPr>
        <w:jc w:val="center"/>
        <w:rPr>
          <w:rFonts w:ascii="仿宋_GB2312" w:hAnsi="仿宋"/>
          <w:b/>
          <w:bCs/>
          <w:sz w:val="32"/>
          <w:szCs w:val="32"/>
        </w:rPr>
      </w:pPr>
      <w:r>
        <w:rPr>
          <w:rFonts w:hint="eastAsia" w:ascii="仿宋_GB2312" w:hAnsi="仿宋"/>
          <w:b/>
          <w:bCs/>
          <w:sz w:val="32"/>
          <w:szCs w:val="32"/>
        </w:rPr>
        <w:t>目录</w:t>
      </w:r>
    </w:p>
    <w:p>
      <w:pPr>
        <w:rPr>
          <w:rFonts w:ascii="仿宋_GB2312" w:hAnsi="宋体"/>
          <w:b/>
          <w:bCs/>
          <w:sz w:val="32"/>
          <w:szCs w:val="32"/>
        </w:rPr>
      </w:pPr>
    </w:p>
    <w:p>
      <w:pPr>
        <w:spacing w:line="900" w:lineRule="exact"/>
        <w:jc w:val="center"/>
        <w:rPr>
          <w:rFonts w:ascii="仿宋_GB2312" w:hAnsi="宋体"/>
          <w:b/>
          <w:sz w:val="32"/>
          <w:szCs w:val="28"/>
        </w:rPr>
      </w:pPr>
      <w:r>
        <w:rPr>
          <w:rFonts w:hint="eastAsia" w:ascii="仿宋_GB2312" w:hAnsi="宋体"/>
          <w:b/>
          <w:sz w:val="32"/>
          <w:szCs w:val="28"/>
        </w:rPr>
        <w:t>第一部分  2020年度部门决算情况说明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部门</w:t>
      </w:r>
      <w:r>
        <w:rPr>
          <w:rFonts w:ascii="仿宋_GB2312" w:eastAsia="仿宋_GB2312"/>
          <w:color w:val="000000"/>
          <w:sz w:val="32"/>
          <w:szCs w:val="32"/>
        </w:rPr>
        <w:t>情况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机构职责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（二）部门</w:t>
      </w:r>
      <w:r>
        <w:rPr>
          <w:rFonts w:ascii="仿宋_GB2312" w:eastAsia="仿宋_GB2312"/>
          <w:color w:val="000000"/>
          <w:sz w:val="32"/>
          <w:szCs w:val="32"/>
        </w:rPr>
        <w:t>机构</w:t>
      </w:r>
      <w:r>
        <w:rPr>
          <w:rFonts w:hint="eastAsia" w:ascii="仿宋_GB2312" w:eastAsia="仿宋_GB2312"/>
          <w:color w:val="000000"/>
          <w:sz w:val="32"/>
          <w:szCs w:val="32"/>
        </w:rPr>
        <w:t>设置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2020年</w:t>
      </w:r>
      <w:r>
        <w:rPr>
          <w:rFonts w:ascii="仿宋_GB2312" w:eastAsia="仿宋_GB2312"/>
          <w:color w:val="000000"/>
          <w:sz w:val="32"/>
          <w:szCs w:val="32"/>
        </w:rPr>
        <w:t>收入及支出总体情况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（一）收入决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（二）支出决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</w:t>
      </w:r>
      <w:r>
        <w:rPr>
          <w:rFonts w:ascii="仿宋_GB2312" w:eastAsia="仿宋_GB2312"/>
          <w:color w:val="000000"/>
          <w:sz w:val="32"/>
          <w:szCs w:val="32"/>
        </w:rPr>
        <w:t>、主要支出情况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（一）一般公共预算财政拨款支出决算总体情况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（二）一般公共预算财政拨款支出决算具体情况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（三）一般公共预算财政拨款基本支出决算情况说明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</w:t>
      </w:r>
      <w:r>
        <w:rPr>
          <w:rFonts w:ascii="仿宋_GB2312" w:eastAsia="仿宋_GB2312"/>
          <w:color w:val="000000"/>
          <w:sz w:val="32"/>
          <w:szCs w:val="32"/>
        </w:rPr>
        <w:t>部门“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</w:t>
      </w:r>
      <w:r>
        <w:rPr>
          <w:rFonts w:ascii="仿宋_GB2312" w:eastAsia="仿宋_GB2312"/>
          <w:color w:val="000000"/>
          <w:sz w:val="32"/>
          <w:szCs w:val="32"/>
        </w:rPr>
        <w:t>财政拨款</w:t>
      </w:r>
      <w:r>
        <w:rPr>
          <w:rFonts w:hint="eastAsia" w:ascii="仿宋_GB2312" w:eastAsia="仿宋_GB2312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</w:rPr>
        <w:t>范围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经费决算财政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hint="eastAsia" w:ascii="仿宋_GB2312" w:eastAsia="仿宋_GB2312"/>
          <w:color w:val="000000"/>
          <w:sz w:val="32"/>
          <w:szCs w:val="32"/>
        </w:rPr>
        <w:t>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</w:t>
      </w:r>
      <w:r>
        <w:rPr>
          <w:rFonts w:ascii="仿宋_GB2312" w:eastAsia="仿宋_GB2312"/>
          <w:color w:val="000000"/>
          <w:sz w:val="32"/>
          <w:szCs w:val="32"/>
        </w:rPr>
        <w:t>、其他情况说明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（一）政府</w:t>
      </w:r>
      <w:r>
        <w:rPr>
          <w:rFonts w:ascii="仿宋_GB2312" w:eastAsia="仿宋_GB2312"/>
          <w:color w:val="000000"/>
          <w:sz w:val="32"/>
          <w:szCs w:val="32"/>
        </w:rPr>
        <w:t>采购</w:t>
      </w:r>
      <w:r>
        <w:rPr>
          <w:rFonts w:hint="eastAsia" w:ascii="仿宋_GB2312" w:eastAsia="仿宋_GB2312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（二）政府购买服务决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（三）机关运行经费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>
      <w:pPr>
        <w:spacing w:line="64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（四）项目支出</w:t>
      </w:r>
      <w:r>
        <w:rPr>
          <w:rFonts w:ascii="仿宋_GB2312" w:eastAsia="仿宋_GB2312"/>
          <w:color w:val="000000"/>
          <w:sz w:val="32"/>
          <w:szCs w:val="32"/>
        </w:rPr>
        <w:t>绩效目标情况说明</w:t>
      </w:r>
    </w:p>
    <w:p>
      <w:pPr>
        <w:spacing w:line="64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（五）重点行政事业性收费情况说明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（六）国有</w:t>
      </w:r>
      <w:r>
        <w:rPr>
          <w:rFonts w:ascii="仿宋_GB2312" w:eastAsia="仿宋_GB2312"/>
          <w:color w:val="000000"/>
          <w:sz w:val="32"/>
          <w:szCs w:val="32"/>
        </w:rPr>
        <w:t>资本经营</w:t>
      </w:r>
      <w:r>
        <w:rPr>
          <w:rFonts w:hint="eastAsia" w:ascii="仿宋_GB2312" w:eastAsia="仿宋_GB2312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算财政拨款</w:t>
      </w:r>
      <w:r>
        <w:rPr>
          <w:rFonts w:hint="eastAsia" w:ascii="仿宋_GB2312" w:eastAsia="仿宋_GB2312"/>
          <w:color w:val="000000"/>
          <w:sz w:val="32"/>
          <w:szCs w:val="32"/>
        </w:rPr>
        <w:t>情况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（七）国有资产</w:t>
      </w:r>
      <w:r>
        <w:rPr>
          <w:rFonts w:ascii="仿宋_GB2312" w:eastAsia="仿宋_GB2312"/>
          <w:color w:val="000000"/>
          <w:sz w:val="32"/>
          <w:szCs w:val="32"/>
        </w:rPr>
        <w:t>占用情况说明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（八）政府性基金预算财政拨款收入、支出情况说明</w:t>
      </w:r>
    </w:p>
    <w:p>
      <w:pPr>
        <w:spacing w:line="640" w:lineRule="exact"/>
        <w:ind w:firstLine="800" w:firstLineChars="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</w:t>
      </w:r>
      <w:r>
        <w:rPr>
          <w:rFonts w:ascii="仿宋_GB2312" w:eastAsia="仿宋_GB2312"/>
          <w:color w:val="000000"/>
          <w:sz w:val="32"/>
          <w:szCs w:val="32"/>
        </w:rPr>
        <w:t>、名称</w:t>
      </w:r>
      <w:r>
        <w:rPr>
          <w:rFonts w:hint="eastAsia" w:ascii="仿宋_GB2312" w:eastAsia="仿宋_GB2312"/>
          <w:color w:val="000000"/>
          <w:sz w:val="32"/>
          <w:szCs w:val="32"/>
        </w:rPr>
        <w:t>解释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（一）“三公”经费</w:t>
      </w:r>
    </w:p>
    <w:p>
      <w:pPr>
        <w:spacing w:line="6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（二）机关运行经费</w:t>
      </w:r>
    </w:p>
    <w:p>
      <w:pPr>
        <w:spacing w:line="900" w:lineRule="exact"/>
        <w:jc w:val="center"/>
        <w:rPr>
          <w:rFonts w:ascii="仿宋_GB2312" w:hAnsi="宋体"/>
          <w:b/>
          <w:sz w:val="32"/>
          <w:szCs w:val="28"/>
        </w:rPr>
      </w:pPr>
      <w:r>
        <w:rPr>
          <w:rFonts w:hint="eastAsia" w:ascii="仿宋_GB2312" w:hAnsi="宋体"/>
          <w:b/>
          <w:sz w:val="32"/>
          <w:szCs w:val="28"/>
        </w:rPr>
        <w:t>第二部分  2020年部门决算表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一、收入支出决算总表（决算01表）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二、收入决算表（决算02表）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三、支出决算表（决算03表）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四、政府采购情况表（决算04表）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五、财政拨款收入支出决算总表（决算05表）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六、一般公共预算财政拨款支出决算表（决算06表）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七、一般公共预算财政拨款基本支出决算表（决算07表）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八、一般公共预算财政拨款项目支出决算表（决算08表）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九、政府性基金预算财政拨款收入支出决算表（决算09表）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十、政府性基金预算财政拨款基本支出决算表（决算10表）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十一、财政拨款（含一般公共预算和政府性基金预算）“三公”经费支出决算表（决算11表）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十二、政府购买服务预算财政拨款明细表（决算12表）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十三、国有资本经营预算财政拨款支出决算情况表（决算13表）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十四、项目支出绩效目标申报表（决算14表）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1325" w:firstLineChars="300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第一部分  2020年部门决算说明</w:t>
      </w:r>
    </w:p>
    <w:p>
      <w:pPr>
        <w:spacing w:line="520" w:lineRule="exact"/>
        <w:ind w:firstLine="640" w:firstLineChars="200"/>
        <w:outlineLvl w:val="0"/>
        <w:rPr>
          <w:rFonts w:ascii="黑体" w:eastAsia="黑体" w:cs="黑体"/>
          <w:sz w:val="32"/>
          <w:szCs w:val="32"/>
        </w:rPr>
      </w:pPr>
    </w:p>
    <w:p>
      <w:pPr>
        <w:spacing w:line="520" w:lineRule="exact"/>
        <w:ind w:firstLine="640" w:firstLineChars="20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一、部门情况</w:t>
      </w:r>
    </w:p>
    <w:p>
      <w:pPr>
        <w:spacing w:line="520" w:lineRule="exact"/>
        <w:ind w:firstLine="708" w:firstLineChars="235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（一）部门机构职责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西城区广内社区卫生服务中心，隶属于北京市西城区卫生健康委员会，中心位于西城区校场五条49号，成立于1958年，于2007年整体转型。本中心下设5个社区卫生服务站，分别为北京市西城区槐柏树社区卫生服务站、北京市西城区西便门社区卫生服务站、北京市西城区三庙社区卫生服务站，北京市西城区长西社区卫生服务站，北京市西城区菜西社区卫生服务站，中心及五个站实行统一管理。</w:t>
      </w:r>
    </w:p>
    <w:p>
      <w:pPr>
        <w:numPr>
          <w:ilvl w:val="0"/>
          <w:numId w:val="1"/>
        </w:numPr>
        <w:spacing w:line="560" w:lineRule="exact"/>
        <w:ind w:firstLine="675" w:firstLineChars="21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部门机构设置</w:t>
      </w:r>
    </w:p>
    <w:p>
      <w:pPr>
        <w:spacing w:line="560" w:lineRule="exact"/>
        <w:ind w:firstLine="640" w:firstLineChars="200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心设有三大部：健康管理部、功能支持部和绩效考核部，三大部下设业务科室：全科、预防保健科、药械科、精神卫生科、口腔科、中医科、妇科、放射科、检验科、心电图、B超室等科室，主要承担辖区人口的医疗、预防、保健、康复、健教及计划生育等工作。</w:t>
      </w:r>
    </w:p>
    <w:p>
      <w:pPr>
        <w:spacing w:line="560" w:lineRule="exact"/>
        <w:ind w:firstLine="643" w:firstLineChars="200"/>
        <w:rPr>
          <w:rFonts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（三）人员构成情况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2020年我中心年末在编在职人数137人，退休返聘11人，合同制人员7人，年末在职职工人数155人。离休1人，退休156人，离退休合计157人。</w:t>
      </w:r>
    </w:p>
    <w:p>
      <w:pPr>
        <w:spacing w:line="560" w:lineRule="exact"/>
        <w:ind w:firstLine="640" w:firstLineChars="200"/>
        <w:outlineLvl w:val="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二、2020年收入及支出总体情况</w:t>
      </w:r>
    </w:p>
    <w:p>
      <w:pPr>
        <w:spacing w:line="560" w:lineRule="exact"/>
        <w:ind w:firstLine="640" w:firstLineChars="200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（一）收入决算说明</w:t>
      </w:r>
    </w:p>
    <w:p>
      <w:pPr>
        <w:ind w:firstLine="640" w:firstLineChars="200"/>
        <w:rPr>
          <w:rFonts w:ascii="宋体" w:hAnsi="宋体" w:eastAsia="仿宋_GB2312" w:cs="宋体"/>
          <w:kern w:val="0"/>
          <w:sz w:val="18"/>
          <w:szCs w:val="18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2020年收入总计179,991,930.89元。其中：本年收入164,782,674.29元，年初结转和结余15,209,256.6元，在本年收入中，一般公共预算财政拨款收入57,159,668.58元，占收入合计的34.69%；政府性基金预算财政拨款收入0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占收入合计的0.00%；国有资本经营预算财政拨款收入0.00元，占收入合计的0.00%；上级补助收入0.00元，占收入合计的0.00%；事业收入107,546,603.86元，占收入合计的65.27%；经营收入0.00元，占收入合计的0.00%；附属单位上缴收入0.00元，占收入合计的0.00%；其他收入76,401.85元，占收入合计的0.04%。相比2020年预算收入的138,022,786.83元，增加26,759,887.46</w:t>
      </w:r>
      <w:r>
        <w:rPr>
          <w:rFonts w:hint="eastAsia" w:ascii="仿宋_GB2312" w:eastAsia="仿宋_GB2312"/>
          <w:sz w:val="32"/>
          <w:szCs w:val="32"/>
          <w:highlight w:val="none"/>
        </w:rPr>
        <w:t>元，增加为16.24%。主要原因是①工资福利补发2019年度一次性绩效增资。②2020年基本公卫中央转移支付直达资金。</w:t>
      </w:r>
    </w:p>
    <w:p>
      <w:pPr>
        <w:spacing w:line="560" w:lineRule="exact"/>
        <w:ind w:firstLine="640" w:firstLineChars="200"/>
        <w:rPr>
          <w:rFonts w:asci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（二）支出决算说明</w:t>
      </w:r>
    </w:p>
    <w:p>
      <w:pPr>
        <w:spacing w:line="360" w:lineRule="auto"/>
        <w:ind w:firstLine="800" w:firstLineChars="25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2020年本年支出合计163,267,703.22元,比2020年年初预算增加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25244916.39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元，其中：基本支出153,505,862.31元,占94.02%;项目支出9,761,840.91元,占5.98%。</w:t>
      </w: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2020年年末结转和结余16,724,227.67元。</w:t>
      </w:r>
    </w:p>
    <w:p>
      <w:pPr>
        <w:spacing w:line="360" w:lineRule="auto"/>
        <w:ind w:firstLine="800" w:firstLineChars="2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三、主要支出情况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一般公共预算财政拨款支出决算总体情况</w:t>
      </w:r>
    </w:p>
    <w:p>
      <w:pPr>
        <w:spacing w:line="360" w:lineRule="auto"/>
        <w:ind w:firstLine="800" w:firstLineChars="250"/>
        <w:rPr>
          <w:rFonts w:hint="eastAsia" w:ascii="仿宋" w:hAnsi="仿宋" w:eastAsia="仿宋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2020年财政拨款支出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163,267,703.22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元，主要用于以下方面(按大类)：社会保障和就业支出(类)</w:t>
      </w:r>
      <w:r>
        <w:rPr>
          <w:rFonts w:ascii="仿宋_GB2312" w:hAnsi="黑体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6,397,465.24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元,占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3.91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%;卫生健康支出(类)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150,757,637.68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元,占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92.33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%;农林水支出（类）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33.624.30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元，占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0.04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%；住房保障支出(类)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6,078,976.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元,占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3.72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highlight w:val="none"/>
        </w:rPr>
        <w:t>。</w:t>
      </w:r>
    </w:p>
    <w:p>
      <w:pPr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(二</w:t>
      </w: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b/>
          <w:sz w:val="32"/>
          <w:szCs w:val="32"/>
        </w:rPr>
        <w:t>一般公共预算财政拨款支出决算具体情况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1、2020年支出决算按用途划分：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2020年一般公共预算财政拨款支出57,099,199.58元,比2020年年初预算增加7,129,699.19元,增长12.49%。其中：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（1）基本支出决算47,337,358.67元，比2020年年初预算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黑体" w:eastAsia="仿宋_GB2312"/>
          <w:sz w:val="32"/>
          <w:szCs w:val="32"/>
        </w:rPr>
        <w:t>7,480,012.29元，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15.8</w:t>
      </w:r>
      <w:r>
        <w:rPr>
          <w:rFonts w:hint="eastAsia" w:ascii="仿宋_GB2312" w:hAnsi="黑体" w:eastAsia="仿宋_GB2312"/>
          <w:sz w:val="32"/>
          <w:szCs w:val="32"/>
        </w:rPr>
        <w:t>%。主要原因是追加</w:t>
      </w:r>
      <w:r>
        <w:rPr>
          <w:rFonts w:ascii="仿宋_GB2312" w:hAnsi="黑体" w:eastAsia="仿宋_GB2312"/>
          <w:sz w:val="32"/>
          <w:szCs w:val="32"/>
        </w:rPr>
        <w:t>绩效工资和延时服务加班工资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（2）项目支出决算9,761,840.91元,比2020年年初预算减少350,313.1元,减少3.59%。</w:t>
      </w:r>
      <w:r>
        <w:rPr>
          <w:rFonts w:hint="eastAsia" w:ascii="仿宋_GB2312" w:eastAsia="仿宋_GB2312"/>
          <w:sz w:val="32"/>
          <w:szCs w:val="32"/>
        </w:rPr>
        <w:t>主要原因是</w:t>
      </w:r>
      <w:r>
        <w:rPr>
          <w:rFonts w:hint="eastAsia" w:ascii="仿宋_GB2312" w:hAnsi="黑体" w:eastAsia="仿宋_GB2312"/>
          <w:sz w:val="32"/>
          <w:szCs w:val="32"/>
        </w:rPr>
        <w:t>医疗设备调减。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2、支出的主要项目是①社区工作者经费112.64万元②业务用房房租218.80万元③长西站装修工程132.28万元。</w:t>
      </w:r>
    </w:p>
    <w:p>
      <w:pPr>
        <w:ind w:firstLine="643" w:firstLineChars="200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（三）一般公共预算财政拨款基本支出决算情况说明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财政拨款基本支出47,337,358.67元，其中：(1)工资福利支出45,367,670.07元(包括：基本工资、津贴补贴、奖金、伙食补助费、绩效工资、机关事业单位基本养老缴费、职业年金缴费、职工基本医疗保险缴费、其他社会保障缴费、公务员医疗补助缴费、住房公积金、其他工资福利支出);(2)商品和服务支出82,160.00元(包括：其他商品和服务支出);(3)对个人和家庭补助支出1.887.588.60元(包括离休费、退休费)。</w:t>
      </w:r>
    </w:p>
    <w:p>
      <w:pPr>
        <w:spacing w:line="360" w:lineRule="auto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四、部门“三公”经费财政拨款决算说明</w:t>
      </w:r>
    </w:p>
    <w:p>
      <w:pPr>
        <w:spacing w:line="360" w:lineRule="auto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（一）“三公”经费的单位范围</w:t>
      </w:r>
    </w:p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北京市西城区广内社区卫生服务中心部门预算中因公出国（境）费、公务接待费、公务用车购置及运行维护费的支出单位包括1个所属单位，即北京市西城广内社区卫生服务中心。</w:t>
      </w:r>
    </w:p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2020年部门预算“三公”经费财政拨款预算安排0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黑体" w:eastAsia="仿宋_GB2312"/>
          <w:sz w:val="32"/>
          <w:szCs w:val="32"/>
        </w:rPr>
        <w:t>万元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与2020年年初预算持平</w:t>
      </w:r>
      <w:r>
        <w:rPr>
          <w:rFonts w:hint="eastAsia" w:ascii="仿宋_GB2312" w:hAnsi="黑体" w:eastAsia="仿宋_GB2312"/>
          <w:sz w:val="32"/>
          <w:szCs w:val="32"/>
        </w:rPr>
        <w:t>，其中：</w:t>
      </w:r>
    </w:p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1.因公出国（境）费</w:t>
      </w:r>
    </w:p>
    <w:p>
      <w:pPr>
        <w:spacing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2020年因公出国（境）费支出0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元，与2020年年初预算持平，主要原因是因公出国（境）费在执行中根据实</w:t>
      </w:r>
      <w:r>
        <w:rPr>
          <w:rFonts w:hint="eastAsia" w:ascii="仿宋_GB2312" w:hAnsi="黑体" w:eastAsia="仿宋_GB2312"/>
          <w:sz w:val="32"/>
          <w:szCs w:val="32"/>
        </w:rPr>
        <w:t>际发生情况追加预算。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本年度本中心使用一般公共预算财政拨款安排的出国（境）团组0个，累计0人次。人均因公出国（境）费用0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黑体" w:eastAsia="仿宋_GB2312"/>
          <w:sz w:val="32"/>
          <w:szCs w:val="32"/>
        </w:rPr>
        <w:t>元。参加其他单位组织的出国（境）团组0个；全年因公出国（境）累计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人次。其中:科研类因公出国（境）费0.00元，团组数0个，统战类因公出国（境）费0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黑体" w:eastAsia="仿宋_GB2312"/>
          <w:sz w:val="32"/>
          <w:szCs w:val="32"/>
        </w:rPr>
        <w:t>元，团组数0个。</w:t>
      </w:r>
    </w:p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2.公务接待费</w:t>
      </w:r>
    </w:p>
    <w:p>
      <w:pPr>
        <w:spacing w:line="360" w:lineRule="auto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</w:rPr>
        <w:t>2020年公务接待费支出0.00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元，与2020年年初预算持平，主要原因是落实厉行勤俭节约要求，无公务接待费发生。</w:t>
      </w:r>
    </w:p>
    <w:p>
      <w:pPr>
        <w:spacing w:line="360" w:lineRule="auto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本年度本中心使用一般公共预算财政拨款支出的国内公务接待0批次，0人次，共0.00元；外事接待0批次，0人次，0.00元。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ab/>
      </w:r>
    </w:p>
    <w:p>
      <w:pPr>
        <w:spacing w:line="52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3.公务用车购置及运行维护费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2020年公务用车购置及运行维护费支出0.00元，比2020年年初预算减少0.00元。其中:2020年公务用车购置费支出0.00元，与2020年年初预算持平。2020年公务用车运行维护费支出0.00元，与2020年年初预算持平，主要原因是落实勤俭节俭原则，严控公务用车使用，减少支出。年末一般</w:t>
      </w:r>
      <w:r>
        <w:rPr>
          <w:rFonts w:hint="eastAsia" w:ascii="仿宋_GB2312" w:hAnsi="黑体" w:eastAsia="仿宋_GB2312"/>
          <w:sz w:val="32"/>
          <w:szCs w:val="32"/>
        </w:rPr>
        <w:t>公共预算财政拨款开支运行维护费的公务用车保有量0辆。</w:t>
      </w:r>
    </w:p>
    <w:p>
      <w:pPr>
        <w:spacing w:line="360" w:lineRule="auto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五、其他情况说明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（一）政府</w:t>
      </w:r>
      <w:r>
        <w:rPr>
          <w:rFonts w:ascii="仿宋_GB2312" w:eastAsia="仿宋_GB2312"/>
          <w:color w:val="000000"/>
          <w:sz w:val="32"/>
          <w:szCs w:val="32"/>
        </w:rPr>
        <w:t>采购</w:t>
      </w:r>
      <w:r>
        <w:rPr>
          <w:rFonts w:hint="eastAsia" w:ascii="仿宋_GB2312" w:eastAsia="仿宋_GB2312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widowControl/>
        <w:spacing w:before="50" w:after="50" w:line="300" w:lineRule="auto"/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_GB2312" w:hAnsi="黑体" w:eastAsia="仿宋_GB2312"/>
          <w:sz w:val="32"/>
          <w:szCs w:val="32"/>
        </w:rPr>
        <w:t>2020年政府采购支出总额1,774,845.98元，其中：政府采购货物支出175,750.00元，政府采购工程支出1,322,801.98元，政府采购服务支出276,294.00元。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（二）政府购买服务决</w:t>
      </w:r>
      <w:r>
        <w:rPr>
          <w:rFonts w:ascii="仿宋_GB2312" w:eastAsia="仿宋_GB2312"/>
          <w:color w:val="000000"/>
          <w:sz w:val="32"/>
          <w:szCs w:val="32"/>
        </w:rPr>
        <w:t>算说明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2020年涉及政府购买服务项目0个，决算资金0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黑体" w:eastAsia="仿宋_GB2312"/>
          <w:sz w:val="32"/>
          <w:szCs w:val="32"/>
        </w:rPr>
        <w:t>元。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（三）机构运行经费说明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2020年本系统履行一般行政事业管理职能、维持机关运行，用于一般公共预算安排的行政运行经费，合计0.00元，与2019年持平。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（四）项目支出绩效目标情况说明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我单位无此类情况。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（五）重点行政事业性收费情况说明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北京市西城区广内社区卫生服务中心2020年上缴非税收入共计2</w:t>
      </w:r>
      <w:r>
        <w:rPr>
          <w:rFonts w:ascii="仿宋_GB2312" w:hAnsi="黑体" w:eastAsia="仿宋_GB2312"/>
          <w:sz w:val="32"/>
          <w:szCs w:val="32"/>
        </w:rPr>
        <w:t>,</w:t>
      </w:r>
      <w:r>
        <w:rPr>
          <w:rFonts w:hint="eastAsia" w:ascii="仿宋_GB2312" w:hAnsi="黑体" w:eastAsia="仿宋_GB2312"/>
          <w:sz w:val="32"/>
          <w:szCs w:val="32"/>
        </w:rPr>
        <w:t>731</w:t>
      </w:r>
      <w:r>
        <w:rPr>
          <w:rFonts w:ascii="仿宋_GB2312" w:hAnsi="黑体" w:eastAsia="仿宋_GB2312"/>
          <w:sz w:val="32"/>
          <w:szCs w:val="32"/>
        </w:rPr>
        <w:t>,</w:t>
      </w:r>
      <w:r>
        <w:rPr>
          <w:rFonts w:hint="eastAsia" w:ascii="仿宋_GB2312" w:hAnsi="黑体" w:eastAsia="仿宋_GB2312"/>
          <w:sz w:val="32"/>
          <w:szCs w:val="32"/>
        </w:rPr>
        <w:t>602.47元，其中：其他收入2</w:t>
      </w:r>
      <w:r>
        <w:rPr>
          <w:rFonts w:ascii="仿宋_GB2312" w:hAnsi="黑体" w:eastAsia="仿宋_GB2312"/>
          <w:sz w:val="32"/>
          <w:szCs w:val="32"/>
        </w:rPr>
        <w:t>,</w:t>
      </w:r>
      <w:r>
        <w:rPr>
          <w:rFonts w:hint="eastAsia" w:ascii="仿宋_GB2312" w:hAnsi="黑体" w:eastAsia="仿宋_GB2312"/>
          <w:sz w:val="32"/>
          <w:szCs w:val="32"/>
        </w:rPr>
        <w:t>731</w:t>
      </w:r>
      <w:r>
        <w:rPr>
          <w:rFonts w:ascii="仿宋_GB2312" w:hAnsi="黑体" w:eastAsia="仿宋_GB2312"/>
          <w:sz w:val="32"/>
          <w:szCs w:val="32"/>
        </w:rPr>
        <w:t>,</w:t>
      </w:r>
      <w:r>
        <w:rPr>
          <w:rFonts w:hint="eastAsia" w:ascii="仿宋_GB2312" w:hAnsi="黑体" w:eastAsia="仿宋_GB2312"/>
          <w:sz w:val="32"/>
          <w:szCs w:val="32"/>
        </w:rPr>
        <w:t>602.47元。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（六）国有资本经营决算财政拨款情况说明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我单位无此类信息。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（七）国有资产占用情况说明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截止2020年底，我单位固定资产总额1,920.09万元，其中：房屋315.70平米，17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38万元；车辆1台，16.26万元；单位价值50万元以上的通用设备0台（套）；单位价值100万元以上的专用设备0台（套）。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（八）政府性基金预算财政拨款收入、支出情况说明。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本单位政府性基金预算财政拨款收入0.00万元，2019年未安排此类经费，比2019年决算增加0.00万元，原因是政府发行用于抗击新冠肺炎疫情相关工作经费。2020年预算未安排此类经费，比2020年预算增加0.00万元，原因是抗击新冠病毒疫情政府临时发行抗疫国债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本单位政府性基金预算财政拨款支出0.00万元，其中：基本支出0.00万元；项目支出0.00万元，用于商品和服务支出0.00万元，资本性支出0.00万元。2019年未有此类经费支出，比2019年增加0.00万元，原因是政府发行用于抗击新冠肺炎疫情相关工作经费。2020年预算未安排此类经费，比2020年预算增加0.00万元，原因是因新冠病毒疫情政府临时发行抗疫国债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六、名称解释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（一）“三公”经费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是指单位通过财政拨款资金安排的因公出国（境）费、公务用车购置及运行费和公务接待费。其中，因公出国（境）费指单位公务出国（境）的国际旅费、国外城市间交通费、住宿费、伙食费、培训费、公杂费等支出；公务用车购置及运行费指单位公务用车车辆购置支出（含车辆购置税）及单位按规定保留的公务用车燃料费、维修费、过桥过路费、保险费、安全奖励费用等支出；公务接待费指单位按规定开支的各类公务接待（含外宾接待）费用。</w:t>
      </w:r>
    </w:p>
    <w:p>
      <w:pPr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（二）机关运行经费</w:t>
      </w:r>
    </w:p>
    <w:p>
      <w:pPr>
        <w:spacing w:line="360" w:lineRule="auto"/>
        <w:ind w:firstLine="640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指为保障行政单位（含参照公务员法管理事业单位）正常运行，用于购买货物和服务的各项资金，包括办公及印刷费、邮电费、差旅费、会议费、福利费、日常维修费、专用材料及一般设备购置费、网络运行维护费（全区）、办公用房租赁费、办公用房水电费、办公用房取暖费、办公用房物业管理费、公务用车运行维护以及其他费用。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楷体" w:eastAsia="方正小标宋简体" w:cs="楷体"/>
          <w:b/>
          <w:bCs/>
          <w:sz w:val="36"/>
          <w:szCs w:val="36"/>
        </w:rPr>
      </w:pPr>
    </w:p>
    <w:p>
      <w:pPr>
        <w:jc w:val="center"/>
        <w:rPr>
          <w:rFonts w:ascii="方正小标宋简体" w:hAnsi="楷体" w:eastAsia="方正小标宋简体" w:cs="楷体"/>
          <w:b/>
          <w:bCs/>
          <w:sz w:val="36"/>
          <w:szCs w:val="36"/>
        </w:rPr>
      </w:pPr>
      <w:r>
        <w:rPr>
          <w:rFonts w:hint="eastAsia" w:ascii="方正小标宋简体" w:hAnsi="楷体" w:eastAsia="方正小标宋简体" w:cs="楷体"/>
          <w:b/>
          <w:bCs/>
          <w:sz w:val="36"/>
          <w:szCs w:val="36"/>
        </w:rPr>
        <w:t>第二部分  2020年度部门决算报表</w:t>
      </w:r>
    </w:p>
    <w:p>
      <w:pPr>
        <w:spacing w:line="520" w:lineRule="exact"/>
        <w:ind w:firstLine="442" w:firstLineChars="200"/>
        <w:rPr>
          <w:rFonts w:ascii="黑体" w:eastAsia="黑体" w:cs="黑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决算01表：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2020年收入支出决算总表</w:t>
      </w:r>
    </w:p>
    <w:p>
      <w:pPr>
        <w:spacing w:line="52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单位：北京市西城区广内社区卫生服务中心　　　　             　 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 w:val="18"/>
          <w:szCs w:val="18"/>
        </w:rPr>
        <w:t>单位：元</w:t>
      </w:r>
    </w:p>
    <w:tbl>
      <w:tblPr>
        <w:tblStyle w:val="3"/>
        <w:tblW w:w="8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780"/>
        <w:gridCol w:w="258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收入项目类别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收入金额</w:t>
            </w: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支出项目类别</w:t>
            </w: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支出金额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一般公共预算财政拨款收入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cs="Arial"/>
                <w:color w:val="000000"/>
                <w:sz w:val="15"/>
                <w:szCs w:val="15"/>
              </w:rPr>
              <w:t>57,159,668.58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政府性基金预算财政拨款收入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科学技术支出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国有资本经营预算财政拨款收入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文化旅游体育与传媒支出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上级补助收入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社会保障和就业支出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6,397,465.24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事业收入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cs="Arial"/>
                <w:color w:val="000000"/>
                <w:sz w:val="15"/>
                <w:szCs w:val="15"/>
              </w:rPr>
              <w:t>107,546,603.86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卫生健康支出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150,757,637.68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经营收入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农林水支出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附属单位上缴收入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住房保障支出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其他收入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Arial"/>
                <w:color w:val="000000"/>
                <w:sz w:val="15"/>
                <w:szCs w:val="15"/>
              </w:rPr>
              <w:t>76,401.85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抗疫特别国债安排的支出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本年收入合计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Arial"/>
                <w:b/>
                <w:bCs/>
                <w:color w:val="000000"/>
                <w:sz w:val="15"/>
                <w:szCs w:val="15"/>
              </w:rPr>
              <w:t>164,782,674.29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本年支出合计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163,267,703.22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用事业基金弥补收支差额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  结余分配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年初结转和结余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Arial"/>
                <w:color w:val="000000"/>
                <w:sz w:val="15"/>
                <w:szCs w:val="15"/>
              </w:rPr>
              <w:t>15,209,256.6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　年末结转和结余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Arial"/>
                <w:color w:val="000000"/>
                <w:sz w:val="15"/>
                <w:szCs w:val="15"/>
              </w:rPr>
              <w:t>16,724,227.67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收入总计：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Arial"/>
                <w:b/>
                <w:bCs/>
                <w:color w:val="000000"/>
                <w:sz w:val="15"/>
                <w:szCs w:val="15"/>
              </w:rPr>
              <w:t>179,991,930.89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支出总计：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Arial"/>
                <w:b/>
                <w:bCs/>
                <w:color w:val="000000"/>
                <w:sz w:val="15"/>
                <w:szCs w:val="15"/>
              </w:rPr>
              <w:t>179,991,930.89</w:t>
            </w:r>
          </w:p>
        </w:tc>
      </w:tr>
    </w:tbl>
    <w:p>
      <w:pPr>
        <w:spacing w:line="520" w:lineRule="exact"/>
        <w:rPr>
          <w:rFonts w:ascii="宋体" w:hAnsi="宋体" w:cs="宋体"/>
          <w:color w:val="000000"/>
          <w:kern w:val="0"/>
          <w:sz w:val="18"/>
          <w:szCs w:val="1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决算02表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2020年收入决算总表</w:t>
      </w:r>
    </w:p>
    <w:p>
      <w:pPr>
        <w:spacing w:line="520" w:lineRule="exact"/>
        <w:ind w:left="7560" w:hanging="7560" w:hangingChars="4200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</w:t>
      </w:r>
      <w:r>
        <w:rPr>
          <w:rFonts w:hint="eastAsia" w:ascii="宋体" w:hAnsi="宋体" w:cs="宋体"/>
          <w:kern w:val="0"/>
          <w:sz w:val="18"/>
          <w:szCs w:val="18"/>
        </w:rPr>
        <w:t>北京市西城区广内社区卫生服务中心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　　  　　　　　　　　　　　　　　　　　　　　　　　　　　　　　　　         　　               单位：元</w:t>
      </w:r>
    </w:p>
    <w:tbl>
      <w:tblPr>
        <w:tblStyle w:val="3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97"/>
        <w:gridCol w:w="2121"/>
        <w:gridCol w:w="1263"/>
        <w:gridCol w:w="1407"/>
        <w:gridCol w:w="711"/>
        <w:gridCol w:w="915"/>
        <w:gridCol w:w="1354"/>
        <w:gridCol w:w="674"/>
        <w:gridCol w:w="805"/>
        <w:gridCol w:w="1502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科目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上年结转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一般公共决算拨款收入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政府性基金决算拨款收入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上级补助收入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事业收入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经营收入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附属单位上缴收入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其他收入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使用非财政拨款结余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社会保障和就业支出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6,397,465.24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6,397,465.24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行政事业单位养老支出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6,397,465.24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6,397,465.24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2080502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事业单位离退休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2,195,044.60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2,195,044.60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2080505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机关事业单位基本养老保险缴费支出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2,849,296.72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2,849,296.72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2080506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机关事业单位职业年金缴费支出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1,353,123.92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1,353,123.92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卫生健康支出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167,481,865.35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15,209,256.60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44,649,603.04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107,546,603.86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76,401.85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基层医疗卫生机构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154,164,875.87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15,209,256.60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31,332,613.56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107,546,603.86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76,401.85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2100301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城市社区卫生机构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154,164,875.87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15,209,256.60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31,270,444.56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107,546,603.86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76,401.85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2100399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其他基层医疗卫生机构支出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62,169.00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62,169.00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公共卫生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10,558,131.61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10,558,131.61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2100408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基本公共卫生服务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10,489,381.61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10,489,381.61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2100410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突发公共卫生事件应急处理</w:t>
            </w:r>
          </w:p>
        </w:tc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68,750.00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68,750.00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中医药</w:t>
            </w:r>
          </w:p>
        </w:tc>
        <w:tc>
          <w:tcPr>
            <w:tcW w:w="2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50,000.00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50,000.00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2100601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中医（民族医）药专项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50,000.00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50,000.00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21011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行政事业单位医疗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2,632,857.87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2,632,857.87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2101102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事业单位医疗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2,580,357.87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2,580,357.87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2101199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其他行政事业单位医疗支出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52,500.00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52,500.00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21099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其他卫生健康支出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76,000.00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76,000.00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2109901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其他卫生健康支出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76,000.00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76,000.00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农林水支出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21305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扶贫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2130506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社会发展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住房保障支出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22102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住房改革支出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2210201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住房公积金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2,975,222.00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2,975,222.00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2210202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提租补贴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274,390.00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274,390.00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2210203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购房补贴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2,829,364.00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2,829,364.00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总计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179,991,930.89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15,209,256.60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57,159,668.58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107,546,603.86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76,401.85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0.00</w:t>
            </w:r>
          </w:p>
        </w:tc>
      </w:tr>
    </w:tbl>
    <w:p>
      <w:pPr>
        <w:spacing w:line="520" w:lineRule="exact"/>
        <w:ind w:firstLine="643" w:firstLineChars="20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>
          <w:footerReference r:id="rId4" w:type="default"/>
          <w:pgSz w:w="16838" w:h="11906" w:orient="landscape"/>
          <w:pgMar w:top="1402" w:right="1440" w:bottom="1713" w:left="1440" w:header="851" w:footer="992" w:gutter="0"/>
          <w:cols w:space="720" w:num="1"/>
          <w:docGrid w:linePitch="312" w:charSpace="0"/>
        </w:sectPr>
      </w:pPr>
    </w:p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决算03表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2020年支出决算总表</w:t>
      </w:r>
    </w:p>
    <w:p>
      <w:pPr>
        <w:spacing w:line="520" w:lineRule="exact"/>
        <w:ind w:left="6840" w:right="600" w:hanging="6840" w:hangingChars="38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</w:t>
      </w:r>
      <w:r>
        <w:rPr>
          <w:rFonts w:hint="eastAsia" w:ascii="宋体" w:hAnsi="宋体" w:cs="宋体"/>
          <w:kern w:val="0"/>
          <w:sz w:val="18"/>
          <w:szCs w:val="18"/>
        </w:rPr>
        <w:t>北京市西城区广内社区卫生服务中心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单位：元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</w:t>
      </w:r>
    </w:p>
    <w:tbl>
      <w:tblPr>
        <w:tblStyle w:val="3"/>
        <w:tblW w:w="8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616"/>
        <w:gridCol w:w="1304"/>
        <w:gridCol w:w="1304"/>
        <w:gridCol w:w="1154"/>
        <w:gridCol w:w="583"/>
        <w:gridCol w:w="962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科目编码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本年支出合计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基本支出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项目支出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上缴上级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支出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经营支出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对附属单位补助支出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社会保障和就业支出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6,397,465.24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6,022,469.24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行政事业单位养老支出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6,397,465.24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6,022,469.24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事业单位离退休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2,195,044.60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1,820,048.60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2080505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机关事业单位基本养老保险缴费支出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2,849,296.72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2,849,296.72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2080506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机关事业单位职业年金缴费支出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1,353,123.92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1,353,123.92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卫生健康支出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150,757,637.68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141,398,417.07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9,359,220.61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基层医疗卫生机构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137,490,148.20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131,117,445.58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6,372,702.62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2100301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城市社区卫生机构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137,438,948.20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131,117,445.58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6,321,502.62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2100399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其他基层医疗卫生机构支出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51,200.00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51,200.00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公共卫生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10,558,131.61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7,648,113.62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2,910,017.99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2100408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基本公共卫生服务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10,489,381.61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7,648,113.62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2,841,267.99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2100410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突发公共卫生事件应急处理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68,750.00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68,750.00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中医药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7,500.00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7,500.00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2100601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中医（民族医）药专项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7,500.00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7,500.00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行政事业单位医疗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2,632,857.87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2,632,857.87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2101102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事业单位医疗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2,580,357.87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2,580,357.87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2101199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其他行政事业单位医疗支出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52,500.00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52,500.00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21099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其他卫生健康支出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69,000.00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69,000.00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2109901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其他卫生健康支出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69,000.00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69,000.00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农林水支出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6,000.00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21305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扶贫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6,000.00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2130506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社会发展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33,624.30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6,000.00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住房保障支出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22102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住房改革支出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6,078,976.00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2210201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住房公积金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2,975,222.00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2,975,222.00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2210202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提租补贴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274,390.00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274,390.00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2210203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 购房补贴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2,829,364.00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2,829,364.00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总计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163,267,703.22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153,505,862.31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9,761,840.91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b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b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b/>
                <w:color w:val="000000"/>
                <w:sz w:val="15"/>
                <w:szCs w:val="15"/>
              </w:rPr>
            </w:pPr>
            <w:r>
              <w:rPr>
                <w:rFonts w:ascii="宋体" w:hAnsi="宋体" w:cs="Arial"/>
                <w:b/>
                <w:color w:val="000000"/>
                <w:sz w:val="15"/>
                <w:szCs w:val="15"/>
              </w:rPr>
              <w:t>0.00</w:t>
            </w:r>
          </w:p>
        </w:tc>
      </w:tr>
    </w:tbl>
    <w:p/>
    <w:p/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/>
    <w:p/>
    <w:p/>
    <w:tbl>
      <w:tblPr>
        <w:tblStyle w:val="3"/>
        <w:tblpPr w:leftFromText="180" w:rightFromText="180" w:vertAnchor="text" w:horzAnchor="page" w:tblpX="1706" w:tblpY="4"/>
        <w:tblOverlap w:val="never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决算04表</w:t>
            </w:r>
            <w:r>
              <w:rPr>
                <w:rFonts w:hint="eastAsia" w:ascii="宋体" w:hAnsi="宋体" w:cs="Arial"/>
                <w:color w:val="000000"/>
                <w:kern w:val="0"/>
              </w:rPr>
              <w:t xml:space="preserve">: </w:t>
            </w:r>
            <w:r>
              <w:rPr>
                <w:rFonts w:hint="eastAsia" w:ascii="宋体" w:hAnsi="宋体" w:cs="Arial"/>
                <w:b/>
                <w:color w:val="000000"/>
                <w:kern w:val="0"/>
              </w:rPr>
              <w:t xml:space="preserve">           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32"/>
                <w:szCs w:val="32"/>
              </w:rPr>
              <w:t>2020年政府采购情况表</w:t>
            </w:r>
          </w:p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</w:rPr>
            </w:pPr>
            <w:r>
              <w:rPr>
                <w:rFonts w:hint="eastAsia" w:ascii="宋体" w:hAnsi="宋体" w:cs="Arial"/>
                <w:color w:val="000000"/>
                <w:kern w:val="0"/>
              </w:rPr>
              <w:t xml:space="preserve">单位名称:北京市西城区广内社区卫生服务中心                             单位:元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 xml:space="preserve">  （一）政府采购支出合计</w:t>
            </w:r>
          </w:p>
        </w:tc>
        <w:tc>
          <w:tcPr>
            <w:tcW w:w="4264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1,774,845.98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 xml:space="preserve">     1．政府采购货物支出</w:t>
            </w:r>
          </w:p>
        </w:tc>
        <w:tc>
          <w:tcPr>
            <w:tcW w:w="4264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175,750.00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 xml:space="preserve">     2．政府采购工程支出</w:t>
            </w:r>
          </w:p>
        </w:tc>
        <w:tc>
          <w:tcPr>
            <w:tcW w:w="4264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1,322,801.98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 xml:space="preserve">     3．政府采购服务支出</w:t>
            </w:r>
          </w:p>
        </w:tc>
        <w:tc>
          <w:tcPr>
            <w:tcW w:w="4264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276,294.00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 xml:space="preserve">  （二）政府采购授予中小企业合同金额</w:t>
            </w:r>
          </w:p>
        </w:tc>
        <w:tc>
          <w:tcPr>
            <w:tcW w:w="4264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4" w:type="dxa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 xml:space="preserve">        其中：授予小微企业合同金额</w:t>
            </w:r>
          </w:p>
        </w:tc>
        <w:tc>
          <w:tcPr>
            <w:tcW w:w="4264" w:type="dxa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</w:tbl>
    <w:p/>
    <w:p/>
    <w:p/>
    <w:p/>
    <w:p/>
    <w:p/>
    <w:p/>
    <w:p/>
    <w:p/>
    <w:p/>
    <w:p/>
    <w:p/>
    <w:p/>
    <w:p>
      <w:pPr>
        <w:spacing w:line="520" w:lineRule="exact"/>
        <w:ind w:firstLine="442" w:firstLineChars="200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决算05表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财政拨款收入支出决算总表</w:t>
      </w:r>
    </w:p>
    <w:p>
      <w:pPr>
        <w:spacing w:line="520" w:lineRule="exact"/>
        <w:ind w:left="-1134" w:leftChars="-540" w:firstLine="1260" w:firstLineChars="7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</w:t>
      </w:r>
      <w:r>
        <w:rPr>
          <w:rFonts w:hint="eastAsia" w:ascii="宋体" w:hAnsi="宋体" w:cs="宋体"/>
          <w:kern w:val="0"/>
          <w:sz w:val="18"/>
          <w:szCs w:val="18"/>
        </w:rPr>
        <w:t>北京市西城区广内社区卫生服务中心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单位：元</w:t>
      </w:r>
    </w:p>
    <w:tbl>
      <w:tblPr>
        <w:tblStyle w:val="3"/>
        <w:tblW w:w="90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751"/>
        <w:gridCol w:w="2618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收入</w:t>
            </w:r>
          </w:p>
        </w:tc>
        <w:tc>
          <w:tcPr>
            <w:tcW w:w="4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项目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决算金额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项目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决算金额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一、本年收入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57,159,668.58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一、本年支出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57,099,199.58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（一）一般公共预算拨款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57,159,668.58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（二）政府性基金预算拨款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科学技术支出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文化旅游体育与传媒支出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二、年初财政拨款结转和结余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社会保障和就业支出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6,397,465.24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（一）一般公共预算拨款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卫生健康支出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44,589,134.04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 xml:space="preserve">  （二）政府性基金预算拨款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农林水支出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33,624.30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住房保障支出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6,078,976.00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抗疫特别国债安排的支出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二、结转下年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60,469.00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200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收入总计：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57,159,668.58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支出总计：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57,159,668.58</w:t>
            </w:r>
          </w:p>
        </w:tc>
      </w:tr>
    </w:tbl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spacing w:line="520" w:lineRule="exact"/>
        <w:ind w:firstLine="442" w:firstLineChars="200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>
          <w:pgSz w:w="11906" w:h="16838"/>
          <w:pgMar w:top="1440" w:right="1713" w:bottom="1440" w:left="1402" w:header="851" w:footer="992" w:gutter="0"/>
          <w:cols w:space="720" w:num="1"/>
          <w:docGrid w:linePitch="312" w:charSpace="0"/>
        </w:sect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>
          <w:type w:val="continuous"/>
          <w:pgSz w:w="11906" w:h="16838"/>
          <w:pgMar w:top="1440" w:right="1713" w:bottom="1440" w:left="1402" w:header="851" w:footer="992" w:gutter="0"/>
          <w:cols w:space="720" w:num="1"/>
          <w:docGrid w:linePitch="312" w:charSpace="0"/>
        </w:sectPr>
      </w:pPr>
    </w:p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决算06表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一般公共预算财政拨款支出决算表</w:t>
      </w:r>
    </w:p>
    <w:p>
      <w:pPr>
        <w:spacing w:line="520" w:lineRule="exact"/>
        <w:ind w:left="-850" w:leftChars="-405" w:firstLine="900" w:firstLineChars="5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</w:t>
      </w:r>
      <w:r>
        <w:rPr>
          <w:rFonts w:hint="eastAsia" w:ascii="宋体" w:hAnsi="宋体" w:cs="宋体"/>
          <w:kern w:val="0"/>
          <w:sz w:val="18"/>
          <w:szCs w:val="18"/>
        </w:rPr>
        <w:t>北京市西城区广内社区卫生服务中心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 单位：元</w:t>
      </w:r>
    </w:p>
    <w:tbl>
      <w:tblPr>
        <w:tblStyle w:val="3"/>
        <w:tblW w:w="90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445"/>
        <w:gridCol w:w="1851"/>
        <w:gridCol w:w="1911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科目编码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科目名称</w:t>
            </w: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合计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基本支出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208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社会保障和就业支出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6,397,465.24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6,022,469.24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374,996.00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20805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行政事业单位养老支出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6,397,465.24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6,022,469.24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374,996.00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2080502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事业单位离退休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2,195,044.60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1,820,048.60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374,996.00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2080505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机关事业单位基本养老保险缴费支出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2,849,296.72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2,849,296.72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2080506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机关事业单位职业年金缴费支出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1,353,123.92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1,353,123.92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卫生健康支出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44,589,134.04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35,229,913.43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9,359,220.61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21003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基层医疗卫生机构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31,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321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644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.56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24,948,941.94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6,3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72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702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2100301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城市社区卫生机构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31,270,444.56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24,948,941.94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6,321,502.62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2100399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其他基层医疗卫生机构支出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51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62,169.00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21004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公共卫生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10,558,131.61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7,648,113.62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2,910,017.99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2100408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基本公共卫生服务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10,489,381.61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7,648,113.62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2,841,267.99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2100410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突发公共卫生事件应急处理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68,750.00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68,750.00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21006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中医药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2100601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中医（民族医）药专项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21011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行政事业单位医疗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2,632,857.87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2,632,857.87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2101102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事业单位医疗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2,580,357.87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2,580,357.87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2101199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其他行政事业单位医疗支出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52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52,500.00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21099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其他卫生健康支出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69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,000.00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76,000.00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2109901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其他卫生健康支出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 xml:space="preserve"> 69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,000.00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76,000.00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农林水支出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33,624.30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6,000.00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27,624.30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21305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扶贫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33,624.30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6,000.00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27,624.30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2130506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社会发展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33,624.30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6,000.00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27,624.30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221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住房保障支出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6,078,976.00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6,078,976.00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22102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住房改革支出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6,078,976.00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6,078,976.00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2210201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住房公积金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2,975,222.00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2,975,222.00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2210202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提租补贴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274,390.00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274,390.00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2210203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 xml:space="preserve">  购房补贴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2,829,364.00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2,829,364.00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总计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  <w:t>57,099,199.58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bidi="ar"/>
              </w:rPr>
              <w:t>47,337,358.67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9,761,840.91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决算07表</w:t>
      </w:r>
    </w:p>
    <w:p>
      <w:pPr>
        <w:jc w:val="center"/>
        <w:rPr>
          <w:rFonts w:hint="eastAsia" w:ascii="仿宋_GB2312" w:hAnsi="楷体"/>
          <w:b/>
          <w:bCs/>
          <w:sz w:val="32"/>
          <w:szCs w:val="32"/>
        </w:rPr>
      </w:pPr>
      <w:r>
        <w:rPr>
          <w:rFonts w:hint="eastAsia" w:ascii="仿宋_GB2312" w:hAnsi="楷体"/>
          <w:b/>
          <w:bCs/>
          <w:sz w:val="32"/>
          <w:szCs w:val="32"/>
        </w:rPr>
        <w:t>2020年一般公共预算财政拨款基本支出决算表</w:t>
      </w:r>
    </w:p>
    <w:p>
      <w:pPr>
        <w:ind w:left="8100" w:hanging="8100" w:hangingChars="45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单位： </w:t>
      </w:r>
      <w:r>
        <w:rPr>
          <w:rFonts w:hint="eastAsia" w:ascii="宋体" w:hAnsi="宋体" w:cs="Arial"/>
          <w:color w:val="000000"/>
          <w:kern w:val="0"/>
        </w:rPr>
        <w:t xml:space="preserve">北京市西城区广内社区卫生服务中心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单位：元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　　　 　　　                                       </w:t>
      </w:r>
    </w:p>
    <w:tbl>
      <w:tblPr>
        <w:tblStyle w:val="3"/>
        <w:tblW w:w="90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942"/>
        <w:gridCol w:w="1478"/>
        <w:gridCol w:w="1575"/>
        <w:gridCol w:w="1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部门经济分类代码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部门经济分类名称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人员经费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工资福利支出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45,367,670.07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45,367,670.07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30101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基本工资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4,791,152.00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4,791,152.00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30102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津贴补贴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6,600,781.36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6,600,781.36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30107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绩效工资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23,719,927.21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23,719,927.21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30108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机关事业单位基本养老保险缴费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2,849,296.72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2,849,296.72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30109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职业年金缴费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1,353,123.92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1,353,123.92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30110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职工基本医疗保险缴费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2,580,357.87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2,580,357.87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30112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其他社会保障缴费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497,808.99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497,808.99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30113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住房公积金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2,975,222.00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2,975,222.00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302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商品和服务性支出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82,160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0.00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82,160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30299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其他商品和服务支出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82,160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0.00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82,160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303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个人和家庭补助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1,887,528.60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1,887,528.60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30301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离休费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121,102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121,102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30302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退休费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1,615,786.6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1,615,786.6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30399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其他对个人和家庭的补助支出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1,000.00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1,000.00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总计</w:t>
            </w:r>
            <w:r>
              <w:rPr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</w:rPr>
              <w:t>47,337,358.67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47,255,198.67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82,160.00</w:t>
            </w:r>
          </w:p>
        </w:tc>
      </w:tr>
    </w:tbl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决算08表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：</w:t>
      </w:r>
    </w:p>
    <w:p>
      <w:pPr>
        <w:spacing w:line="520" w:lineRule="exact"/>
        <w:ind w:firstLine="560" w:firstLineChars="200"/>
        <w:jc w:val="center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/>
          <w:sz w:val="28"/>
        </w:rPr>
        <w:t>一般公共预算财政拨款项目支出决算明细表</w:t>
      </w:r>
    </w:p>
    <w:tbl>
      <w:tblPr>
        <w:tblStyle w:val="3"/>
        <w:tblW w:w="90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32"/>
        <w:gridCol w:w="1208"/>
        <w:gridCol w:w="1150"/>
        <w:gridCol w:w="1238"/>
        <w:gridCol w:w="1000"/>
        <w:gridCol w:w="908"/>
        <w:gridCol w:w="10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24"/>
              </w:rPr>
              <w:t>单位：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北京市西城区广内社区卫生服务中心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1280" w:firstLineChars="800"/>
              <w:jc w:val="left"/>
              <w:rPr>
                <w:rFonts w:ascii="Arial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6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支出功能分类科目编码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对个人和家庭的补助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资本性支出（基本建设）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资本性支出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社会保障和就业支出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行政事业单位养老支出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2080502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事业单位离退休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卫生健康支出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9,359,220.61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1,870,487.59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6,644,731.02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844,002.00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基层医疗卫生机构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6,372,702.62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5,597,700.62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775,002.00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2100301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城市社区卫生机构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6,321,502.62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5,546,500.62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775,002.00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2100399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其他基层医疗卫生机构支出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51,200.00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51,200.00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公共卫生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2,910,017.99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1,870,487.59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1,039,530.40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2100408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基本公共卫生服务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2,841,267.99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1,870,487.59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970,780.40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2100410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突发公共卫生事件应急处理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7,500.00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7,500.00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中医药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7,500.00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7,500.00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2100601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中医（民族医）药专项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69,000.00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21099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其他卫生健康支出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69,000.00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2109901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其他卫生健康支出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农林水支出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21305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扶贫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27,624.30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2130506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社会发展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Arial"/>
                <w:color w:val="000000"/>
                <w:sz w:val="15"/>
                <w:szCs w:val="15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b/>
                <w:color w:val="000000"/>
                <w:sz w:val="15"/>
                <w:szCs w:val="15"/>
              </w:rPr>
              <w:t>总计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  <w:t>9,761,840.91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  <w:t>1,870,487.59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  <w:t>6,672,355.32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  <w:t>374,996.00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Arial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  <w:t>0.00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  <w:lang w:bidi="ar"/>
              </w:rPr>
              <w:t>844,002.00</w:t>
            </w:r>
          </w:p>
        </w:tc>
      </w:tr>
    </w:tbl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spacing w:line="520" w:lineRule="exact"/>
        <w:ind w:firstLine="442" w:firstLineChars="200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决算09表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政府性基金预算财政拨款收入支出决算表</w:t>
      </w:r>
    </w:p>
    <w:p>
      <w:pPr>
        <w:spacing w:line="520" w:lineRule="exact"/>
        <w:ind w:right="360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</w:t>
      </w:r>
      <w:r>
        <w:rPr>
          <w:rFonts w:hint="eastAsia" w:ascii="宋体" w:hAnsi="宋体" w:cs="Arial"/>
          <w:color w:val="000000"/>
          <w:kern w:val="0"/>
        </w:rPr>
        <w:t xml:space="preserve">北京市西城区广内社区卫生服务中心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单位：元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        </w:t>
      </w:r>
    </w:p>
    <w:tbl>
      <w:tblPr>
        <w:tblStyle w:val="3"/>
        <w:tblW w:w="88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"/>
        <w:gridCol w:w="274"/>
        <w:gridCol w:w="280"/>
        <w:gridCol w:w="1661"/>
        <w:gridCol w:w="648"/>
        <w:gridCol w:w="1275"/>
        <w:gridCol w:w="1276"/>
        <w:gridCol w:w="677"/>
        <w:gridCol w:w="1275"/>
        <w:gridCol w:w="12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项目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上年结转和结余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本年收入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本年支出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年末结转结余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支出功能分类科目编码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科目名称</w:t>
            </w: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基本支出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项目支出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类</w:t>
            </w:r>
          </w:p>
        </w:tc>
        <w:tc>
          <w:tcPr>
            <w:tcW w:w="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款</w:t>
            </w:r>
          </w:p>
        </w:tc>
        <w:tc>
          <w:tcPr>
            <w:tcW w:w="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项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栏次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.00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.00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.00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.00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spacing w:line="520" w:lineRule="exact"/>
        <w:rPr>
          <w:rFonts w:hint="eastAsia" w:ascii="宋体" w:hAnsi="宋体" w:cs="宋体"/>
          <w:b/>
          <w:bCs/>
          <w:kern w:val="0"/>
          <w:sz w:val="22"/>
          <w:szCs w:val="22"/>
        </w:rPr>
      </w:pPr>
    </w:p>
    <w:p>
      <w:pPr>
        <w:spacing w:line="520" w:lineRule="exac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决算10表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政府性基金预算财政拨款基本支出决算表</w:t>
      </w:r>
    </w:p>
    <w:p>
      <w:pPr>
        <w:spacing w:line="520" w:lineRule="exact"/>
        <w:ind w:left="8177" w:leftChars="-135" w:hanging="8460" w:hangingChars="47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　单位：</w:t>
      </w:r>
      <w:r>
        <w:rPr>
          <w:rFonts w:hint="eastAsia" w:ascii="宋体" w:hAnsi="宋体" w:cs="Arial"/>
          <w:color w:val="000000"/>
          <w:kern w:val="0"/>
        </w:rPr>
        <w:t xml:space="preserve">北京市西城区广内社区卫生服务中心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　　　        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单位：元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</w:t>
      </w:r>
    </w:p>
    <w:tbl>
      <w:tblPr>
        <w:tblStyle w:val="3"/>
        <w:tblW w:w="9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80"/>
        <w:gridCol w:w="2405"/>
        <w:gridCol w:w="2405"/>
        <w:gridCol w:w="1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部门经济分类代码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部门经济分类名称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人员经费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工资福利支出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商品和服务支出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303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对个人和家庭的补助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Arial"/>
                <w:color w:val="000000"/>
                <w:sz w:val="15"/>
                <w:szCs w:val="15"/>
              </w:rPr>
              <w:t>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资本性支出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kern w:val="0"/>
                <w:sz w:val="15"/>
                <w:szCs w:val="15"/>
              </w:rPr>
              <w:t>总计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</w:tr>
    </w:tbl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  <w:sectPr>
          <w:pgSz w:w="11906" w:h="16838"/>
          <w:pgMar w:top="1440" w:right="1713" w:bottom="1440" w:left="1402" w:header="851" w:footer="992" w:gutter="0"/>
          <w:cols w:space="720" w:num="1"/>
          <w:docGrid w:linePitch="312" w:charSpace="0"/>
        </w:sectPr>
      </w:pPr>
    </w:p>
    <w:p>
      <w:pPr>
        <w:spacing w:line="520" w:lineRule="exact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2"/>
          <w:szCs w:val="22"/>
        </w:rPr>
        <w:t>决算11表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财政拨款（含一般公共预算和政府性基金预算）“三公”经费支出决算表</w:t>
      </w:r>
    </w:p>
    <w:p>
      <w:pPr>
        <w:spacing w:line="520" w:lineRule="exact"/>
        <w:ind w:left="7920" w:hanging="7920" w:hangingChars="4400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</w:t>
      </w:r>
      <w:r>
        <w:rPr>
          <w:rFonts w:hint="eastAsia" w:ascii="宋体" w:hAnsi="宋体" w:cs="Arial"/>
          <w:color w:val="000000"/>
          <w:kern w:val="0"/>
        </w:rPr>
        <w:t xml:space="preserve">北京市西城区广内社区卫生服务中心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单位：元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2637"/>
        <w:gridCol w:w="2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2020年决算数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1、因公出国（境）费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2、公务接待费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3、公务用车购置及运行维护费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其中；公务用车购置费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公务用车运行维护费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</w:tbl>
    <w:p>
      <w:pPr>
        <w:spacing w:line="520" w:lineRule="exac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决算12表：</w:t>
      </w:r>
    </w:p>
    <w:p>
      <w:pPr>
        <w:jc w:val="center"/>
        <w:rPr>
          <w:sz w:val="36"/>
        </w:rPr>
      </w:pPr>
      <w:r>
        <w:rPr>
          <w:rFonts w:hint="eastAsia"/>
          <w:sz w:val="36"/>
        </w:rPr>
        <w:t>政府购买服务财政拨款明细表</w:t>
      </w:r>
    </w:p>
    <w:p>
      <w:pPr>
        <w:jc w:val="left"/>
        <w:rPr>
          <w:rFonts w:ascii="宋体" w:hAnsi="宋体" w:cs="Arial"/>
          <w:color w:val="000000"/>
          <w:kern w:val="0"/>
          <w:sz w:val="20"/>
          <w:szCs w:val="20"/>
        </w:rPr>
      </w:pPr>
      <w:r>
        <w:rPr>
          <w:rFonts w:hint="eastAsia" w:ascii="宋体" w:hAnsi="宋体" w:cs="Arial"/>
          <w:color w:val="000000"/>
          <w:kern w:val="0"/>
          <w:sz w:val="20"/>
          <w:szCs w:val="20"/>
        </w:rPr>
        <w:t>单位：</w:t>
      </w:r>
      <w:r>
        <w:rPr>
          <w:rFonts w:hint="eastAsia" w:ascii="宋体" w:hAnsi="宋体" w:cs="Arial"/>
          <w:color w:val="000000"/>
          <w:kern w:val="0"/>
        </w:rPr>
        <w:t>北京市西城区广内社区卫生服务中心</w:t>
      </w:r>
      <w:r>
        <w:rPr>
          <w:rFonts w:hint="eastAsia" w:ascii="宋体" w:hAnsi="宋体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单位：元</w:t>
      </w:r>
    </w:p>
    <w:tbl>
      <w:tblPr>
        <w:tblStyle w:val="3"/>
        <w:tblpPr w:leftFromText="180" w:rightFromText="180" w:vertAnchor="text" w:horzAnchor="page" w:tblpX="1570" w:tblpY="281"/>
        <w:tblOverlap w:val="never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3"/>
              <w:tblpPr w:leftFromText="180" w:rightFromText="180" w:vertAnchor="text" w:horzAnchor="page" w:tblpX="405" w:tblpY="484"/>
              <w:tblOverlap w:val="never"/>
              <w:tblW w:w="1321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5"/>
              <w:gridCol w:w="1535"/>
              <w:gridCol w:w="1700"/>
              <w:gridCol w:w="1700"/>
              <w:gridCol w:w="2266"/>
              <w:gridCol w:w="1983"/>
              <w:gridCol w:w="1700"/>
              <w:gridCol w:w="155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政府功能分类科目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一级项目名称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一级目录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二级目录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三级目录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项目预算金额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承接主体性质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支出金额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226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983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58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7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2266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983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58" w:type="dxa"/>
                  <w:vMerge w:val="continue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7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栏次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5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6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8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7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合计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—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—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—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—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—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—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7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Arial"/>
                      <w:color w:val="000000"/>
                      <w:kern w:val="0"/>
                      <w:sz w:val="16"/>
                      <w:szCs w:val="12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  <w:lang w:eastAsia="zh-CN"/>
                    </w:rPr>
                    <w:t>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7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7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7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7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775" w:type="dxa"/>
                  <w:tcBorders>
                    <w:top w:val="nil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Arial"/>
                      <w:color w:val="000000"/>
                      <w:kern w:val="0"/>
                      <w:sz w:val="16"/>
                      <w:szCs w:val="12"/>
                    </w:rPr>
                  </w:pPr>
                  <w:r>
                    <w:rPr>
                      <w:rFonts w:hint="eastAsia" w:ascii="宋体" w:hAnsi="宋体" w:cs="Arial"/>
                      <w:color w:val="000000"/>
                      <w:kern w:val="0"/>
                      <w:sz w:val="16"/>
                      <w:szCs w:val="12"/>
                    </w:rPr>
                    <w:t>　</w:t>
                  </w:r>
                </w:p>
              </w:tc>
            </w:tr>
          </w:tbl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决算13表：</w:t>
      </w:r>
    </w:p>
    <w:p>
      <w:pPr>
        <w:jc w:val="left"/>
        <w:rPr>
          <w:rFonts w:ascii="仿宋_GB2312" w:hAnsi="宋体" w:cs="宋体"/>
          <w:kern w:val="0"/>
          <w:sz w:val="24"/>
        </w:rPr>
      </w:pPr>
    </w:p>
    <w:p>
      <w:pPr>
        <w:ind w:right="400"/>
        <w:jc w:val="center"/>
        <w:rPr>
          <w:sz w:val="36"/>
        </w:rPr>
      </w:pPr>
      <w:r>
        <w:rPr>
          <w:rFonts w:hint="eastAsia"/>
          <w:sz w:val="36"/>
        </w:rPr>
        <w:t>国有资本经营预算财政拨款支出决算情况表</w:t>
      </w:r>
    </w:p>
    <w:p>
      <w:pPr>
        <w:ind w:right="400"/>
        <w:jc w:val="left"/>
        <w:rPr>
          <w:sz w:val="20"/>
          <w:szCs w:val="20"/>
        </w:rPr>
      </w:pPr>
      <w:r>
        <w:rPr>
          <w:rFonts w:hint="eastAsia" w:ascii="宋体" w:hAnsi="宋体" w:cs="Arial"/>
          <w:color w:val="000000"/>
          <w:kern w:val="0"/>
          <w:sz w:val="20"/>
          <w:szCs w:val="20"/>
        </w:rPr>
        <w:t>单位：</w:t>
      </w:r>
      <w:r>
        <w:rPr>
          <w:rFonts w:hint="eastAsia" w:ascii="宋体" w:hAnsi="宋体" w:cs="Arial"/>
          <w:color w:val="000000"/>
          <w:kern w:val="0"/>
        </w:rPr>
        <w:t>北京市西城区广内社区卫生服务中心</w:t>
      </w:r>
      <w:r>
        <w:rPr>
          <w:rFonts w:hint="eastAsia" w:ascii="宋体" w:hAnsi="宋体" w:cs="宋体"/>
          <w:kern w:val="0"/>
          <w:sz w:val="20"/>
          <w:szCs w:val="20"/>
        </w:rPr>
        <w:t xml:space="preserve">                                                                                   单位：元</w:t>
      </w:r>
    </w:p>
    <w:tbl>
      <w:tblPr>
        <w:tblStyle w:val="3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520"/>
        <w:gridCol w:w="503"/>
        <w:gridCol w:w="3845"/>
        <w:gridCol w:w="2138"/>
        <w:gridCol w:w="3486"/>
        <w:gridCol w:w="3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8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2020年度决算数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支出功能分类科目编码</w:t>
            </w:r>
          </w:p>
        </w:tc>
        <w:tc>
          <w:tcPr>
            <w:tcW w:w="3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科目名称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基本支出</w:t>
            </w:r>
          </w:p>
        </w:tc>
        <w:tc>
          <w:tcPr>
            <w:tcW w:w="3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款</w:t>
            </w:r>
          </w:p>
        </w:tc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栏次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仿宋_GB2312" w:eastAsia="仿宋_GB2312" w:cs="宋体"/>
          <w:color w:val="000000"/>
          <w:kern w:val="0"/>
          <w:sz w:val="24"/>
          <w:szCs w:val="32"/>
          <w:lang w:val="zh-CN"/>
        </w:rPr>
        <w:t>决算</w:t>
      </w:r>
      <w:r>
        <w:rPr>
          <w:rFonts w:ascii="仿宋_GB2312" w:eastAsia="仿宋_GB2312" w:cs="宋体"/>
          <w:color w:val="000000"/>
          <w:kern w:val="0"/>
          <w:sz w:val="24"/>
          <w:szCs w:val="32"/>
          <w:lang w:val="zh-CN"/>
        </w:rPr>
        <w:t>1</w:t>
      </w:r>
      <w:r>
        <w:rPr>
          <w:rFonts w:hint="eastAsia" w:ascii="仿宋_GB2312" w:eastAsia="仿宋_GB2312" w:cs="宋体"/>
          <w:color w:val="000000"/>
          <w:kern w:val="0"/>
          <w:sz w:val="24"/>
          <w:szCs w:val="32"/>
        </w:rPr>
        <w:t>4</w:t>
      </w:r>
      <w:r>
        <w:rPr>
          <w:rFonts w:hint="eastAsia" w:ascii="仿宋_GB2312" w:eastAsia="仿宋_GB2312" w:cs="宋体"/>
          <w:color w:val="000000"/>
          <w:kern w:val="0"/>
          <w:sz w:val="24"/>
          <w:szCs w:val="32"/>
          <w:lang w:val="zh-CN"/>
        </w:rPr>
        <w:t>表</w:t>
      </w: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keepNext/>
        <w:keepLines/>
        <w:spacing w:line="312" w:lineRule="auto"/>
        <w:jc w:val="center"/>
        <w:outlineLvl w:val="1"/>
        <w:rPr>
          <w:rFonts w:ascii="Cambria" w:hAnsi="Cambria"/>
          <w:b/>
          <w:bCs/>
          <w:sz w:val="36"/>
          <w:szCs w:val="32"/>
        </w:rPr>
      </w:pPr>
      <w:bookmarkStart w:id="0" w:name="_Toc396293504"/>
      <w:r>
        <w:rPr>
          <w:rFonts w:hint="eastAsia" w:ascii="Cambria" w:hAnsi="Cambria"/>
          <w:b/>
          <w:bCs/>
          <w:sz w:val="36"/>
          <w:szCs w:val="32"/>
        </w:rPr>
        <w:t>项目支出绩效目标申报表</w:t>
      </w:r>
      <w:bookmarkEnd w:id="0"/>
    </w:p>
    <w:tbl>
      <w:tblPr>
        <w:tblStyle w:val="3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779"/>
        <w:gridCol w:w="222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部门（单位）名称</w:t>
            </w:r>
          </w:p>
        </w:tc>
        <w:tc>
          <w:tcPr>
            <w:tcW w:w="7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北京市西城区广内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社区卫生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部门（单位）负责人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jc w:val="center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  <w:szCs w:val="24"/>
              </w:rPr>
              <w:t>马萍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  <w:szCs w:val="24"/>
              </w:rPr>
              <w:t>63037685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部门（单位）总体资金情况（元）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资金总额：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163,267,703.22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基本支出：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153,505,862.31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项目支出：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9,761,840.91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其他：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default" w:ascii="楷体_GB2312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部门（单位）职能概述</w:t>
            </w:r>
          </w:p>
        </w:tc>
        <w:tc>
          <w:tcPr>
            <w:tcW w:w="7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76" w:lineRule="auto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坚持全面从严治党，切实加强社区卫生服务机构自身建设</w:t>
            </w: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 xml:space="preserve">。 2. 继续深入开展家庭医生服务工作。 3. 改善社区卫生服务机构基础设施建设，积极推行预约就诊服务。 4. 继续扩大药品采购品种，不断满足患者需求。 5. 深入社区、进入居委会开展老年人健康体检。 6. 积极开展慢性病人管理工作。 7. 开展社区失能老人服务工作。 8. 继续扩大药品采购品种，满足患者需求。 9. 努力提升中医药服务能力。 10. 加强传染病管理。 11. 积极开展岗位练兵活动。 12. 积极开展医务人员继续教育培训 13. 积极开展处方点评工作。 14. 加强院内感染控制管理工作力度。 15. 加强传染病管理。 16. 加强精神病人管理，确保无肇事肇祸。 17. 积极开展健康促进工作。 18. 积极开展预防保健工作。 19. 积极开展安全维稳工作。做好安全生产管理工作。 20. 完成临时性、指令性工作任务。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楷体_GB2312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部门（单位）绩效目标</w:t>
            </w:r>
          </w:p>
        </w:tc>
        <w:tc>
          <w:tcPr>
            <w:tcW w:w="7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Arial"/>
                <w:sz w:val="20"/>
                <w:szCs w:val="20"/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坚持以人民健康为中心，</w:t>
            </w:r>
            <w:r>
              <w:rPr>
                <w:rFonts w:hint="eastAsia" w:cs="Arial"/>
                <w:sz w:val="20"/>
                <w:szCs w:val="20"/>
              </w:rPr>
              <w:t xml:space="preserve">努力建设成为西城区社区卫生服务示范中心。 2、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以做好辖区卫生健康“十四五”规划为主线，努力提升医疗卫生服务质量，</w:t>
            </w:r>
            <w:r>
              <w:rPr>
                <w:rFonts w:hint="eastAsia" w:cs="Arial"/>
                <w:sz w:val="20"/>
                <w:szCs w:val="20"/>
              </w:rPr>
              <w:t xml:space="preserve">建设管理有序、百姓信得过、医患和睦的新型现代化社区服务中心。 3、以深化家庭医生服务工作为主线开展社区卫生服务，提高整体素质及服务能力，完善服务功能，满足辖区居民医疗、健康服务需求。 3、以深化家庭医生服务工作为主线开展社区卫生服务，提高整体素质及服务能力，完善服务功能，满足辖区居民医疗、健康服务需求。 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Style w:val="3"/>
        <w:tblW w:w="9545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623"/>
        <w:gridCol w:w="582"/>
        <w:gridCol w:w="1216"/>
        <w:gridCol w:w="1737"/>
        <w:gridCol w:w="3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2020年1月至12月完成全部预算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cs="Arial"/>
                <w:sz w:val="20"/>
                <w:szCs w:val="20"/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坚持以人民健康为中心，</w:t>
            </w:r>
            <w:r>
              <w:rPr>
                <w:rFonts w:hint="eastAsia" w:cs="Arial"/>
                <w:sz w:val="20"/>
                <w:szCs w:val="20"/>
              </w:rPr>
              <w:t xml:space="preserve">努力建设成为西城区社区卫生服务示范中心。 2、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以做好辖区卫生健康“十四五”规划为主线，努力提升医疗卫生服务质量，</w:t>
            </w:r>
            <w:r>
              <w:rPr>
                <w:rFonts w:hint="eastAsia" w:cs="Arial"/>
                <w:sz w:val="20"/>
                <w:szCs w:val="20"/>
              </w:rPr>
              <w:t xml:space="preserve">建设管理有序、百姓信得过、医患和睦的新型现代化社区服务中心。 3、以深化家庭医生服务工作为主线开展社区卫生服务，提高整体素质及服务能力，完善服务功能，满足辖区居民医疗、健康服务需求。 3、以深化家庭医生服务工作为主线开展社区卫生服务，提高整体素质及服务能力，完善服务功能，满足辖区居民医疗、健康服务需求。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cs="Arial"/>
                <w:sz w:val="20"/>
                <w:szCs w:val="20"/>
              </w:rPr>
              <w:t xml:space="preserve">1、上半年完成全年项目实施计划及预算执行任务的60%以上，下半年完成全年立项及预算执行任务。 2、项目具体进度按相关文件要求及任务书规定要求完成。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cs="Arial"/>
                <w:sz w:val="20"/>
                <w:szCs w:val="20"/>
              </w:rPr>
              <w:t>制定相关措施，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各项支出控制在预算范围内，</w:t>
            </w:r>
            <w:r>
              <w:rPr>
                <w:rFonts w:hint="eastAsia" w:cs="Arial"/>
                <w:sz w:val="20"/>
                <w:szCs w:val="20"/>
              </w:rPr>
              <w:t xml:space="preserve">控制部门运营成本的增长，按照少花钱、多办事的原则，监督编制预算，严把各项工作实施成本。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效果指标</w:t>
            </w:r>
          </w:p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12" w:lineRule="auto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门诊收入增加促进社区卫生事业的发展，增强周边居民的就医体验，使之充分体会新时期以来，以把人民群众的健康放在首位的方针政策.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cs="Arial"/>
                <w:sz w:val="20"/>
                <w:szCs w:val="20"/>
              </w:rPr>
              <w:t>稳定社区卫生人员队伍，提高服务能力，加强社区软硬件建设，成为百姓认可的社区“健康守护神”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辖区环境达标，节能减排指标逐年降低。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cs="Arial"/>
                <w:sz w:val="20"/>
                <w:szCs w:val="20"/>
              </w:rPr>
              <w:t>1.全面提高辖区内的可持续发展能力。形成区域经济建设与社会发展相互促进，人口、资源、环境和谐统一的可持续发展模式和机制；促进依靠科技进进步和体制创新、政府主导、市场推动的区域可持续发展支撑体系的逐步建立和完善。 2.培养具有可持续发展理念和管理创新能力的干部队伍。 3.为百姓为辖区百姓提供平等的、可及的、高质量的社区医疗服务平台，满足人民群众日益增长的多层次、多元化预防保健服务需求。体现了社区卫生公益性原则，在一定程度上缓解了“看病难”、“看病贵”的矛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cs="Arial"/>
                <w:sz w:val="20"/>
                <w:szCs w:val="20"/>
              </w:rPr>
              <w:t xml:space="preserve">通过建设和发展，力争使政府、百姓、职工满意。辖区内企业、居民对部门服务满意度。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4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其他说明的问题</w:t>
            </w:r>
          </w:p>
        </w:tc>
        <w:tc>
          <w:tcPr>
            <w:tcW w:w="82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李珊珊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ind w:firstLine="2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63036098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填报日期：2021.8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6C9C"/>
    <w:multiLevelType w:val="singleLevel"/>
    <w:tmpl w:val="11866C9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A43CD"/>
    <w:rsid w:val="00884D5D"/>
    <w:rsid w:val="00BB2D85"/>
    <w:rsid w:val="00D943DA"/>
    <w:rsid w:val="00DB53A5"/>
    <w:rsid w:val="00E233FA"/>
    <w:rsid w:val="010563D8"/>
    <w:rsid w:val="02806F56"/>
    <w:rsid w:val="02B562F0"/>
    <w:rsid w:val="034A304D"/>
    <w:rsid w:val="04073697"/>
    <w:rsid w:val="05CF3CD6"/>
    <w:rsid w:val="062537C0"/>
    <w:rsid w:val="07DB3435"/>
    <w:rsid w:val="099B7DA5"/>
    <w:rsid w:val="0ADC6A95"/>
    <w:rsid w:val="0C2A1CE3"/>
    <w:rsid w:val="106A20CA"/>
    <w:rsid w:val="131B0BA8"/>
    <w:rsid w:val="14F10081"/>
    <w:rsid w:val="20453767"/>
    <w:rsid w:val="23D8739C"/>
    <w:rsid w:val="23E15442"/>
    <w:rsid w:val="24BA0C1D"/>
    <w:rsid w:val="24C86F33"/>
    <w:rsid w:val="24D23FAC"/>
    <w:rsid w:val="25E34160"/>
    <w:rsid w:val="26D77441"/>
    <w:rsid w:val="27D50E31"/>
    <w:rsid w:val="2903004B"/>
    <w:rsid w:val="295D78E7"/>
    <w:rsid w:val="2C0F03B8"/>
    <w:rsid w:val="30FC56DB"/>
    <w:rsid w:val="32375799"/>
    <w:rsid w:val="324D39FC"/>
    <w:rsid w:val="32B51420"/>
    <w:rsid w:val="34346BF5"/>
    <w:rsid w:val="376057F3"/>
    <w:rsid w:val="383C3681"/>
    <w:rsid w:val="38560438"/>
    <w:rsid w:val="390213DD"/>
    <w:rsid w:val="39612F29"/>
    <w:rsid w:val="397F2F86"/>
    <w:rsid w:val="39FE1E2E"/>
    <w:rsid w:val="3C9127E8"/>
    <w:rsid w:val="3DA3038B"/>
    <w:rsid w:val="3F4826C4"/>
    <w:rsid w:val="418D1BFF"/>
    <w:rsid w:val="440C160A"/>
    <w:rsid w:val="479034F4"/>
    <w:rsid w:val="49A16BB1"/>
    <w:rsid w:val="4AE267DB"/>
    <w:rsid w:val="4C1E75B4"/>
    <w:rsid w:val="4CC75166"/>
    <w:rsid w:val="4D7811B8"/>
    <w:rsid w:val="4E103C79"/>
    <w:rsid w:val="4EE126CE"/>
    <w:rsid w:val="504A43CD"/>
    <w:rsid w:val="50783210"/>
    <w:rsid w:val="5079559B"/>
    <w:rsid w:val="518C7B64"/>
    <w:rsid w:val="546649FA"/>
    <w:rsid w:val="54DB1AFD"/>
    <w:rsid w:val="57AB13E1"/>
    <w:rsid w:val="585C089B"/>
    <w:rsid w:val="5AF76B81"/>
    <w:rsid w:val="5BFC64D9"/>
    <w:rsid w:val="5DC807B6"/>
    <w:rsid w:val="623F5244"/>
    <w:rsid w:val="64880611"/>
    <w:rsid w:val="6C6A02DB"/>
    <w:rsid w:val="6E6036E5"/>
    <w:rsid w:val="758370C8"/>
    <w:rsid w:val="76087FD0"/>
    <w:rsid w:val="79F812B6"/>
    <w:rsid w:val="7A6C092D"/>
    <w:rsid w:val="7B6E35FE"/>
    <w:rsid w:val="7E4E06EC"/>
    <w:rsid w:val="7F852267"/>
    <w:rsid w:val="7FA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34</Pages>
  <Words>8941</Words>
  <Characters>10152</Characters>
  <Lines>84</Lines>
  <Paragraphs>38</Paragraphs>
  <TotalTime>8</TotalTime>
  <ScaleCrop>false</ScaleCrop>
  <LinksUpToDate>false</LinksUpToDate>
  <CharactersWithSpaces>19055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2021-07-09T10:51:00Z</dcterms:created>
  <dc:creator>asus</dc:creator>
  <cp:lastModifiedBy>徐历</cp:lastModifiedBy>
  <dcterms:modified xsi:type="dcterms:W3CDTF">2021-09-07T02:06:34Z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CB4D5D6DDBB244B6830E18689F366C87</vt:lpwstr>
  </property>
</Properties>
</file>