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Times New Roman"/>
          <w:sz w:val="44"/>
          <w:szCs w:val="24"/>
        </w:rPr>
      </w:pPr>
      <w:r>
        <w:rPr>
          <w:rFonts w:ascii="方正小标宋简体" w:hAnsi="宋体" w:eastAsia="方正小标宋简体" w:cs="Times New Roman"/>
          <w:sz w:val="44"/>
          <w:szCs w:val="24"/>
        </w:rPr>
        <w:t>201</w:t>
      </w:r>
      <w:r>
        <w:rPr>
          <w:rFonts w:hint="eastAsia" w:ascii="方正小标宋简体" w:hAnsi="宋体" w:eastAsia="方正小标宋简体" w:cs="Times New Roman"/>
          <w:sz w:val="44"/>
          <w:szCs w:val="24"/>
        </w:rPr>
        <w:t>9</w:t>
      </w:r>
      <w:r>
        <w:rPr>
          <w:rFonts w:ascii="方正小标宋简体" w:hAnsi="宋体" w:eastAsia="方正小标宋简体" w:cs="Times New Roman"/>
          <w:sz w:val="44"/>
          <w:szCs w:val="24"/>
        </w:rPr>
        <w:t>年</w:t>
      </w:r>
      <w:r>
        <w:rPr>
          <w:rFonts w:hint="eastAsia" w:ascii="方正小标宋简体" w:hAnsi="宋体" w:eastAsia="方正小标宋简体" w:cs="Times New Roman"/>
          <w:sz w:val="44"/>
          <w:szCs w:val="24"/>
        </w:rPr>
        <w:t>广外街道部门</w:t>
      </w:r>
      <w:r>
        <w:rPr>
          <w:rFonts w:hint="eastAsia" w:ascii="方正小标宋简体" w:hAnsi="宋体" w:eastAsia="方正小标宋简体" w:cs="Times New Roman"/>
          <w:sz w:val="44"/>
          <w:szCs w:val="24"/>
          <w:lang w:eastAsia="zh-CN"/>
        </w:rPr>
        <w:t>决算</w:t>
      </w:r>
      <w:r>
        <w:rPr>
          <w:rFonts w:hint="eastAsia" w:ascii="方正小标宋简体" w:hAnsi="宋体" w:eastAsia="方正小标宋简体" w:cs="Times New Roman"/>
          <w:sz w:val="44"/>
          <w:szCs w:val="24"/>
        </w:rPr>
        <w:t>编制情况说明</w:t>
      </w:r>
    </w:p>
    <w:p>
      <w:pPr>
        <w:ind w:firstLine="640" w:firstLineChars="200"/>
        <w:rPr>
          <w:rFonts w:ascii="黑体" w:hAnsi="黑体" w:eastAsia="黑体"/>
          <w:sz w:val="32"/>
          <w:szCs w:val="32"/>
        </w:rPr>
      </w:pPr>
      <w:r>
        <w:rPr>
          <w:rFonts w:hint="eastAsia" w:ascii="黑体" w:hAnsi="黑体" w:eastAsia="黑体"/>
          <w:sz w:val="32"/>
          <w:szCs w:val="32"/>
        </w:rPr>
        <w:t>一、部门情况</w:t>
      </w:r>
    </w:p>
    <w:p>
      <w:pPr>
        <w:ind w:firstLine="640" w:firstLineChars="200"/>
        <w:rPr>
          <w:rFonts w:ascii="楷体" w:hAnsi="楷体" w:eastAsia="楷体"/>
          <w:sz w:val="32"/>
          <w:szCs w:val="30"/>
        </w:rPr>
      </w:pPr>
      <w:r>
        <w:rPr>
          <w:rFonts w:hint="eastAsia" w:ascii="楷体" w:hAnsi="楷体" w:eastAsia="楷体"/>
          <w:sz w:val="32"/>
          <w:szCs w:val="30"/>
        </w:rPr>
        <w:t>（一）部门机构设置、职责</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北京市西城区人民政府广安门外街道办事处是西城区政府的派出机构，受西城区委区政府领导。依据法律、法规及受本区政府依托，对本辖区内城市管理、社区服务、经济发展、社会治安、基层党建、精神文明等方面工作行使组织领导、综合协调、监督检查等职能。</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下设7 个内设机构，分别是：综合办公室、党群工作办公室、平安建设办公室、城市管理办公室、民生保障办公室、地区协调服务办公室和社区建设办公室。下属单位为北京市西城区广安门外街道党群服务中心、北京市西城区广安门外街道市民服务中心和北京市西城区广安门外街道全响应街区治理中心3家纳入规范管理事业单位，北京市西城区马连道街区综合服务中心1家全额拨款事业单位。另外，我街道有35个社区。</w:t>
      </w:r>
    </w:p>
    <w:p>
      <w:pPr>
        <w:ind w:firstLine="640" w:firstLineChars="200"/>
        <w:rPr>
          <w:rFonts w:ascii="楷体" w:hAnsi="楷体" w:eastAsia="楷体"/>
          <w:sz w:val="32"/>
          <w:szCs w:val="30"/>
        </w:rPr>
      </w:pPr>
      <w:r>
        <w:rPr>
          <w:rFonts w:hint="eastAsia" w:ascii="楷体" w:hAnsi="楷体" w:eastAsia="楷体"/>
          <w:sz w:val="32"/>
          <w:szCs w:val="30"/>
        </w:rPr>
        <w:t>（二）人员构成情况</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北京市西城区人民政府广安门外街道办事处2019年底实际人员222人。</w:t>
      </w:r>
      <w:bookmarkStart w:id="4" w:name="_GoBack"/>
      <w:bookmarkEnd w:id="4"/>
      <w:r>
        <w:rPr>
          <w:rFonts w:hint="eastAsia" w:ascii="仿宋_GB2312" w:hAnsi="Times New Roman" w:eastAsia="仿宋_GB2312"/>
          <w:sz w:val="32"/>
          <w:szCs w:val="32"/>
        </w:rPr>
        <w:t>离退休人员114人，其中：离休3人，退休111人。</w:t>
      </w:r>
    </w:p>
    <w:p>
      <w:pPr>
        <w:ind w:firstLine="640" w:firstLineChars="200"/>
        <w:rPr>
          <w:rFonts w:ascii="黑体" w:hAnsi="黑体" w:eastAsia="黑体"/>
          <w:sz w:val="32"/>
          <w:szCs w:val="32"/>
        </w:rPr>
      </w:pPr>
      <w:r>
        <w:rPr>
          <w:rFonts w:hint="eastAsia" w:ascii="黑体" w:hAnsi="黑体" w:eastAsia="黑体"/>
          <w:sz w:val="32"/>
          <w:szCs w:val="32"/>
        </w:rPr>
        <w:t>二、收入决算说明</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2019年度收入决算总计40403.74万元，其中，本年收入39316.17万元，年初结转和结余</w:t>
      </w:r>
      <w:r>
        <w:rPr>
          <w:rFonts w:ascii="仿宋_GB2312" w:hAnsi="Times New Roman" w:eastAsia="仿宋_GB2312"/>
          <w:sz w:val="32"/>
          <w:szCs w:val="32"/>
        </w:rPr>
        <w:t>1087.57</w:t>
      </w:r>
      <w:r>
        <w:rPr>
          <w:rFonts w:hint="eastAsia" w:ascii="仿宋_GB2312" w:hAnsi="Times New Roman" w:eastAsia="仿宋_GB2312"/>
          <w:sz w:val="32"/>
          <w:szCs w:val="32"/>
        </w:rPr>
        <w:t>万元。2019年街道财政拨款收入比2018年同期38558.76万元增加757.41万元，增长1.96%。</w:t>
      </w:r>
    </w:p>
    <w:p>
      <w:pPr>
        <w:ind w:firstLine="640" w:firstLineChars="200"/>
        <w:rPr>
          <w:rFonts w:ascii="黑体" w:hAnsi="黑体" w:eastAsia="黑体"/>
          <w:sz w:val="32"/>
          <w:szCs w:val="32"/>
        </w:rPr>
      </w:pPr>
      <w:r>
        <w:rPr>
          <w:rFonts w:hint="eastAsia" w:ascii="黑体" w:hAnsi="黑体" w:eastAsia="黑体"/>
          <w:sz w:val="32"/>
          <w:szCs w:val="32"/>
        </w:rPr>
        <w:t>三、支出决算说明</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2019年度支出决算合计39619.61万元，其中：基本支出8329.68万元，占支出合计的21.02%；项目支出31289.93万元，占支出合计的78.98%。</w:t>
      </w:r>
    </w:p>
    <w:p>
      <w:pPr>
        <w:ind w:firstLine="640" w:firstLineChars="200"/>
        <w:rPr>
          <w:rFonts w:ascii="楷体" w:hAnsi="楷体" w:eastAsia="楷体"/>
          <w:sz w:val="32"/>
          <w:szCs w:val="30"/>
        </w:rPr>
      </w:pPr>
      <w:r>
        <w:rPr>
          <w:rFonts w:hint="eastAsia" w:ascii="楷体" w:hAnsi="楷体" w:eastAsia="楷体"/>
          <w:sz w:val="32"/>
          <w:szCs w:val="30"/>
        </w:rPr>
        <w:t>（一）2019年支出决算按用途划分：</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1、2019年度一般公共预算财政拨款支出39569.61万元，主要用于以下方面：“一般公共服务支出”2019年度决算支出9576.44万元，占本年财政拨款支出的24.69%；“国防支出”2019年度决算50.90 万元，占本年财政拨款支出的0.13%；“公共安全支出”2019年度决算81.89 万元，占本年财政拨款支出的0.21%；“教育支出”2019年度决算93.04万元，占本年财政拨款支出的0.24%；“科学技术支出”2019年度决算37.80万元，占本年财政拨款支出的0.01%；“文化旅游体育与传媒支出”2019年度决算124.62万元，占本年财政拨款支出的0.35%；“社会保障和就业支出”2019年度决算16169.72万元，占本年财政拨款支出的41.64%；“卫生健康支出”2019年度决算1263.93万元，占本年财政拨款支出的3.26%；“城乡社区支出”2019年度决算11287.50万元，占本年财政拨款支出的27.38%；“住房保障支出”2019年度决算883.79万元，占本年财政拨款支出的2.25%；“灾害防治及应急管理支出”2019年度决算25 万元，其他支出0万元。</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2、2019年度政府性基金预算财政拨款支出50万元。</w:t>
      </w:r>
    </w:p>
    <w:p>
      <w:pPr>
        <w:spacing w:line="560" w:lineRule="exact"/>
        <w:ind w:firstLine="640" w:firstLineChars="200"/>
        <w:rPr>
          <w:rFonts w:ascii="仿宋" w:hAnsi="仿宋" w:eastAsia="仿宋"/>
          <w:sz w:val="32"/>
          <w:szCs w:val="32"/>
        </w:rPr>
      </w:pPr>
      <w:r>
        <w:rPr>
          <w:rFonts w:hint="eastAsia" w:ascii="楷体" w:hAnsi="楷体" w:eastAsia="楷体"/>
          <w:sz w:val="32"/>
          <w:szCs w:val="30"/>
        </w:rPr>
        <w:t>（二）</w:t>
      </w:r>
      <w:r>
        <w:rPr>
          <w:rFonts w:ascii="楷体" w:hAnsi="楷体" w:eastAsia="楷体"/>
          <w:sz w:val="32"/>
          <w:szCs w:val="30"/>
        </w:rPr>
        <w:t>2019年</w:t>
      </w:r>
      <w:r>
        <w:rPr>
          <w:rFonts w:hint="eastAsia" w:ascii="楷体" w:hAnsi="楷体" w:eastAsia="楷体"/>
          <w:sz w:val="32"/>
          <w:szCs w:val="30"/>
        </w:rPr>
        <w:t>涉及政府采购及政府购买服务决算情况</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2019年决算中涉及政府采购的金额5060.29万元。其中货物类采购金额638.32万元，工程类采购金额1421.42万元，服务类采购金额3000.55万元。</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2019年涉及政府购买服务项目17个，决算资金3737.67万元。</w:t>
      </w:r>
    </w:p>
    <w:p>
      <w:pPr>
        <w:ind w:firstLine="640" w:firstLineChars="200"/>
        <w:rPr>
          <w:rFonts w:ascii="楷体" w:hAnsi="楷体" w:eastAsia="楷体"/>
          <w:sz w:val="32"/>
          <w:szCs w:val="30"/>
        </w:rPr>
      </w:pPr>
      <w:r>
        <w:rPr>
          <w:rFonts w:hint="eastAsia" w:ascii="楷体" w:hAnsi="楷体" w:eastAsia="楷体"/>
          <w:sz w:val="32"/>
          <w:szCs w:val="30"/>
        </w:rPr>
        <w:t>（三）</w:t>
      </w:r>
      <w:r>
        <w:rPr>
          <w:rFonts w:ascii="楷体" w:hAnsi="楷体" w:eastAsia="楷体"/>
          <w:sz w:val="32"/>
          <w:szCs w:val="30"/>
        </w:rPr>
        <w:t>2019年</w:t>
      </w:r>
      <w:r>
        <w:rPr>
          <w:rFonts w:hint="eastAsia" w:ascii="楷体" w:hAnsi="楷体" w:eastAsia="楷体"/>
          <w:sz w:val="32"/>
          <w:szCs w:val="30"/>
        </w:rPr>
        <w:t>机关运行经费决算情况</w:t>
      </w:r>
    </w:p>
    <w:p>
      <w:pPr>
        <w:spacing w:line="560" w:lineRule="exact"/>
        <w:ind w:firstLine="640" w:firstLineChars="200"/>
        <w:rPr>
          <w:rFonts w:ascii="仿宋_GB2312" w:hAnsi="Times New Roman" w:eastAsia="仿宋_GB2312"/>
          <w:sz w:val="32"/>
          <w:szCs w:val="32"/>
        </w:rPr>
      </w:pPr>
      <w:r>
        <w:rPr>
          <w:rFonts w:ascii="仿宋_GB2312" w:hAnsi="Times New Roman" w:eastAsia="仿宋_GB2312"/>
          <w:sz w:val="32"/>
          <w:szCs w:val="32"/>
        </w:rPr>
        <w:t>2019年</w:t>
      </w:r>
      <w:r>
        <w:rPr>
          <w:rFonts w:hint="eastAsia" w:ascii="仿宋_GB2312" w:hAnsi="Times New Roman" w:eastAsia="仿宋_GB2312"/>
          <w:sz w:val="32"/>
          <w:szCs w:val="32"/>
        </w:rPr>
        <w:t>本部门履行一般行政事业管理职能、维持机关运行，用于一般公共预算安排的行政运行经费，合计574.89万元。同比2018年行政运行经费有所减少。主要原因是单位进一步落实节俭办公，适度压缩办公费等。</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ind w:firstLine="640" w:firstLineChars="200"/>
        <w:rPr>
          <w:rFonts w:ascii="黑体" w:hAnsi="黑体" w:eastAsia="黑体"/>
          <w:sz w:val="32"/>
          <w:szCs w:val="32"/>
        </w:rPr>
      </w:pPr>
      <w:r>
        <w:rPr>
          <w:rFonts w:hint="eastAsia" w:ascii="黑体" w:hAnsi="黑体" w:eastAsia="黑体"/>
          <w:sz w:val="32"/>
          <w:szCs w:val="32"/>
        </w:rPr>
        <w:t>四、部门</w:t>
      </w:r>
      <w:r>
        <w:rPr>
          <w:rFonts w:ascii="黑体" w:hAnsi="黑体" w:eastAsia="黑体"/>
          <w:sz w:val="32"/>
          <w:szCs w:val="32"/>
        </w:rPr>
        <w:t>“</w:t>
      </w:r>
      <w:r>
        <w:rPr>
          <w:rFonts w:hint="eastAsia" w:ascii="黑体" w:hAnsi="黑体" w:eastAsia="黑体"/>
          <w:sz w:val="32"/>
          <w:szCs w:val="32"/>
        </w:rPr>
        <w:t>三公</w:t>
      </w:r>
      <w:r>
        <w:rPr>
          <w:rFonts w:ascii="黑体" w:hAnsi="黑体" w:eastAsia="黑体"/>
          <w:sz w:val="32"/>
          <w:szCs w:val="32"/>
        </w:rPr>
        <w:t>”</w:t>
      </w:r>
      <w:r>
        <w:rPr>
          <w:rFonts w:hint="eastAsia" w:ascii="黑体" w:hAnsi="黑体" w:eastAsia="黑体"/>
          <w:sz w:val="32"/>
          <w:szCs w:val="32"/>
        </w:rPr>
        <w:t>经费财政拨款决算说明</w:t>
      </w:r>
    </w:p>
    <w:p>
      <w:pPr>
        <w:ind w:firstLine="640" w:firstLineChars="200"/>
        <w:rPr>
          <w:rFonts w:ascii="楷体" w:hAnsi="楷体" w:eastAsia="楷体"/>
          <w:sz w:val="32"/>
          <w:szCs w:val="30"/>
        </w:rPr>
      </w:pPr>
      <w:r>
        <w:rPr>
          <w:rFonts w:hint="eastAsia" w:ascii="楷体" w:hAnsi="楷体" w:eastAsia="楷体"/>
          <w:sz w:val="32"/>
          <w:szCs w:val="30"/>
        </w:rPr>
        <w:t>（一）</w:t>
      </w:r>
      <w:r>
        <w:rPr>
          <w:rFonts w:ascii="楷体" w:hAnsi="楷体" w:eastAsia="楷体"/>
          <w:sz w:val="32"/>
          <w:szCs w:val="30"/>
        </w:rPr>
        <w:t>“</w:t>
      </w:r>
      <w:r>
        <w:rPr>
          <w:rFonts w:hint="eastAsia" w:ascii="楷体" w:hAnsi="楷体" w:eastAsia="楷体"/>
          <w:sz w:val="32"/>
          <w:szCs w:val="30"/>
        </w:rPr>
        <w:t>三公</w:t>
      </w:r>
      <w:r>
        <w:rPr>
          <w:rFonts w:ascii="楷体" w:hAnsi="楷体" w:eastAsia="楷体"/>
          <w:sz w:val="32"/>
          <w:szCs w:val="30"/>
        </w:rPr>
        <w:t>”</w:t>
      </w:r>
      <w:r>
        <w:rPr>
          <w:rFonts w:hint="eastAsia" w:ascii="楷体" w:hAnsi="楷体" w:eastAsia="楷体"/>
          <w:sz w:val="32"/>
          <w:szCs w:val="30"/>
        </w:rPr>
        <w:t>经费的单位范围</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北京市西城区人民政府广安门外街道办事处决算中因公出国（境）费、公务接待费、公务用车购置及运行维护费的支出单位为街道本级部门。</w:t>
      </w:r>
    </w:p>
    <w:p>
      <w:pPr>
        <w:ind w:firstLine="640" w:firstLineChars="200"/>
        <w:rPr>
          <w:rFonts w:ascii="楷体" w:hAnsi="楷体" w:eastAsia="楷体"/>
          <w:sz w:val="32"/>
          <w:szCs w:val="30"/>
        </w:rPr>
      </w:pPr>
      <w:r>
        <w:rPr>
          <w:rFonts w:hint="eastAsia" w:ascii="楷体" w:hAnsi="楷体" w:eastAsia="楷体"/>
          <w:sz w:val="32"/>
          <w:szCs w:val="30"/>
        </w:rPr>
        <w:t>（二）“三公”经费支出情况</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2019年部门决算“三公”经费财政拨款支出32.56万元，比2018年“三公”经费财政拨款年初预算29.04万元增加3.52万元。其中：</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1、因公出国（境）费用</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2019年，我街道使用财政拨款因公出国（境）费支出25.61万元，比2018年财政拨款因公出国（境）费支出22.45元，增加支出3.16万元。</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因公出国（境）团组情况：参加其他单位组织的出国（境）团组2个；</w:t>
      </w:r>
      <w:r>
        <w:rPr>
          <w:rFonts w:ascii="仿宋_GB2312" w:hAnsi="Times New Roman" w:eastAsia="仿宋_GB2312"/>
          <w:sz w:val="32"/>
          <w:szCs w:val="32"/>
        </w:rPr>
        <w:t>全年因公出国（境）累计</w:t>
      </w:r>
      <w:r>
        <w:rPr>
          <w:rFonts w:hint="eastAsia" w:ascii="仿宋_GB2312" w:hAnsi="Times New Roman" w:eastAsia="仿宋_GB2312"/>
          <w:sz w:val="32"/>
          <w:szCs w:val="32"/>
        </w:rPr>
        <w:t>15</w:t>
      </w:r>
      <w:r>
        <w:rPr>
          <w:rFonts w:ascii="仿宋_GB2312" w:hAnsi="Times New Roman" w:eastAsia="仿宋_GB2312"/>
          <w:sz w:val="32"/>
          <w:szCs w:val="32"/>
        </w:rPr>
        <w:t>人次</w:t>
      </w:r>
      <w:r>
        <w:rPr>
          <w:rFonts w:hint="eastAsia" w:ascii="仿宋_GB2312" w:hAnsi="Times New Roman" w:eastAsia="仿宋_GB2312"/>
          <w:sz w:val="32"/>
          <w:szCs w:val="32"/>
        </w:rPr>
        <w:t>，比2018年增加1人次，故费用有所增加。2019</w:t>
      </w:r>
      <w:r>
        <w:rPr>
          <w:rFonts w:ascii="仿宋_GB2312" w:hAnsi="Times New Roman" w:eastAsia="仿宋_GB2312"/>
          <w:sz w:val="32"/>
          <w:szCs w:val="32"/>
        </w:rPr>
        <w:t>年度出国（境）团</w:t>
      </w:r>
      <w:r>
        <w:rPr>
          <w:rFonts w:hint="eastAsia" w:ascii="仿宋_GB2312" w:hAnsi="Times New Roman" w:eastAsia="仿宋_GB2312"/>
          <w:sz w:val="32"/>
          <w:szCs w:val="32"/>
        </w:rPr>
        <w:t>组具体情况为：</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根据区应急管理局《北京市西城区应急管理局关于2019年组团赴台交流的邀请》的相关内容，我街道1人赴台湾参加交流活动。</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根据《区台办关于2019年组团赴台交流工作的通知》的相关内容，我街道共14人赴台湾参加交流活动。</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2、公务接待费</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2019年决算数0万元，2019年年初预算数3.62万元。与2018年决算数持平。主要原因：严格遵守八项规定，减少公务接待费。</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3、公务用车购置及运行维护费</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 xml:space="preserve">2019年年初预算数7.35万元，其中，公务用车购置费0万元，公车运行维护费7.35万元。2019年公务用车购置费决算数0万元，公车运行维护费决算数6.95万元，比2018年决算数9.6万元减少2.65万元。决算报表显示，我街道公务用车保有量1辆，车均运行维护金额为6.95万元，超出了标准，这主要是核算方法和客观原因造成的，实际并未超标。我街道年初公务用车保有量2辆，预算按照2辆车标准申报，年中调拨减少1辆，已调拨车辆的运行维护费2019年也在我单位列支，所以决算中列示的实际为两辆车的费用，不超标准。 </w:t>
      </w:r>
    </w:p>
    <w:p>
      <w:pPr>
        <w:ind w:firstLine="640" w:firstLineChars="200"/>
        <w:rPr>
          <w:rFonts w:ascii="黑体" w:hAnsi="黑体" w:eastAsia="黑体"/>
          <w:sz w:val="32"/>
          <w:szCs w:val="32"/>
        </w:rPr>
      </w:pPr>
      <w:r>
        <w:rPr>
          <w:rFonts w:hint="eastAsia" w:ascii="黑体" w:hAnsi="黑体" w:eastAsia="黑体"/>
          <w:sz w:val="32"/>
          <w:szCs w:val="32"/>
        </w:rPr>
        <w:t>五、其他事项说明</w:t>
      </w:r>
    </w:p>
    <w:p>
      <w:pPr>
        <w:ind w:firstLine="640" w:firstLineChars="200"/>
        <w:rPr>
          <w:rFonts w:ascii="楷体" w:hAnsi="楷体" w:eastAsia="楷体"/>
          <w:sz w:val="32"/>
          <w:szCs w:val="30"/>
        </w:rPr>
      </w:pPr>
      <w:r>
        <w:rPr>
          <w:rFonts w:hint="eastAsia" w:ascii="楷体" w:hAnsi="楷体" w:eastAsia="楷体"/>
          <w:sz w:val="32"/>
          <w:szCs w:val="30"/>
        </w:rPr>
        <w:t>（一）2019年重点项目预算的绩效目标和绩效评价结果</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我街道实施全年绩效跟踪的资金规模涉及项目支出资金总额</w:t>
      </w:r>
      <w:r>
        <w:rPr>
          <w:rFonts w:ascii="仿宋_GB2312" w:hAnsi="Times New Roman" w:eastAsia="仿宋_GB2312"/>
          <w:sz w:val="32"/>
          <w:szCs w:val="32"/>
        </w:rPr>
        <w:t>9877.08</w:t>
      </w:r>
      <w:r>
        <w:rPr>
          <w:rFonts w:hint="eastAsia" w:ascii="仿宋_GB2312" w:hAnsi="Times New Roman" w:eastAsia="仿宋_GB2312"/>
          <w:sz w:val="32"/>
          <w:szCs w:val="32"/>
        </w:rPr>
        <w:t>万元，占年初项目支出预算（不含基建支出）的</w:t>
      </w:r>
      <w:r>
        <w:rPr>
          <w:rFonts w:ascii="仿宋_GB2312" w:hAnsi="Times New Roman" w:eastAsia="仿宋_GB2312"/>
          <w:sz w:val="32"/>
          <w:szCs w:val="32"/>
        </w:rPr>
        <w:t>30.76%</w:t>
      </w:r>
      <w:r>
        <w:rPr>
          <w:rFonts w:hint="eastAsia" w:ascii="仿宋_GB2312" w:hAnsi="Times New Roman" w:eastAsia="仿宋_GB2312"/>
          <w:sz w:val="32"/>
          <w:szCs w:val="32"/>
        </w:rPr>
        <w:t>；重点跟踪反映预算金额超过</w:t>
      </w:r>
      <w:r>
        <w:rPr>
          <w:rFonts w:ascii="仿宋_GB2312" w:hAnsi="Times New Roman" w:eastAsia="仿宋_GB2312"/>
          <w:sz w:val="32"/>
          <w:szCs w:val="32"/>
        </w:rPr>
        <w:t>100</w:t>
      </w:r>
      <w:r>
        <w:rPr>
          <w:rFonts w:hint="eastAsia" w:ascii="仿宋_GB2312" w:hAnsi="Times New Roman" w:eastAsia="仿宋_GB2312"/>
          <w:sz w:val="32"/>
          <w:szCs w:val="32"/>
        </w:rPr>
        <w:t>万元（含）及绩效目标发生变动的项目；重点跟踪项目数</w:t>
      </w:r>
      <w:r>
        <w:rPr>
          <w:rFonts w:ascii="仿宋_GB2312" w:hAnsi="Times New Roman" w:eastAsia="仿宋_GB2312"/>
          <w:sz w:val="32"/>
          <w:szCs w:val="32"/>
        </w:rPr>
        <w:t>20</w:t>
      </w:r>
      <w:r>
        <w:rPr>
          <w:rFonts w:hint="eastAsia" w:ascii="仿宋_GB2312" w:hAnsi="Times New Roman" w:eastAsia="仿宋_GB2312"/>
          <w:sz w:val="32"/>
          <w:szCs w:val="32"/>
        </w:rPr>
        <w:t>个，涉及</w:t>
      </w:r>
      <w:r>
        <w:rPr>
          <w:rFonts w:ascii="仿宋_GB2312" w:hAnsi="Times New Roman" w:eastAsia="仿宋_GB2312"/>
          <w:sz w:val="32"/>
          <w:szCs w:val="32"/>
        </w:rPr>
        <w:t>7</w:t>
      </w:r>
      <w:r>
        <w:rPr>
          <w:rFonts w:hint="eastAsia" w:ascii="仿宋_GB2312" w:hAnsi="Times New Roman" w:eastAsia="仿宋_GB2312"/>
          <w:sz w:val="32"/>
          <w:szCs w:val="32"/>
        </w:rPr>
        <w:t>大办公室和</w:t>
      </w:r>
      <w:r>
        <w:rPr>
          <w:rFonts w:ascii="仿宋_GB2312" w:hAnsi="Times New Roman" w:eastAsia="仿宋_GB2312"/>
          <w:sz w:val="32"/>
          <w:szCs w:val="32"/>
        </w:rPr>
        <w:t>1</w:t>
      </w:r>
      <w:r>
        <w:rPr>
          <w:rFonts w:hint="eastAsia" w:ascii="仿宋_GB2312" w:hAnsi="Times New Roman" w:eastAsia="仿宋_GB2312"/>
          <w:sz w:val="32"/>
          <w:szCs w:val="32"/>
        </w:rPr>
        <w:t>家事业单位。</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2019年度财政资金使用情况的绩效跟踪工作已顺利完成。在项目执行过程中相关科室能够较为严格地按照批复范围和用途使用财政资金，态度严谨，绩效管理工作取得明显成效。</w:t>
      </w:r>
    </w:p>
    <w:p>
      <w:pPr>
        <w:ind w:firstLine="640" w:firstLineChars="200"/>
        <w:rPr>
          <w:rFonts w:ascii="楷体" w:hAnsi="楷体" w:eastAsia="楷体"/>
          <w:sz w:val="32"/>
          <w:szCs w:val="30"/>
        </w:rPr>
      </w:pPr>
      <w:r>
        <w:rPr>
          <w:rFonts w:hint="eastAsia" w:ascii="楷体" w:hAnsi="楷体" w:eastAsia="楷体"/>
          <w:sz w:val="32"/>
          <w:szCs w:val="30"/>
        </w:rPr>
        <w:t>（二）2019年国有资产占用情况</w:t>
      </w:r>
    </w:p>
    <w:p>
      <w:pPr>
        <w:spacing w:line="560" w:lineRule="exact"/>
        <w:ind w:firstLine="645"/>
        <w:rPr>
          <w:rFonts w:ascii="仿宋_GB2312" w:hAnsi="Times New Roman" w:eastAsia="仿宋_GB2312"/>
          <w:sz w:val="32"/>
          <w:szCs w:val="32"/>
        </w:rPr>
      </w:pPr>
      <w:r>
        <w:rPr>
          <w:rFonts w:hint="eastAsia" w:ascii="仿宋_GB2312" w:hAnsi="Times New Roman" w:eastAsia="仿宋_GB2312"/>
          <w:sz w:val="32"/>
          <w:szCs w:val="32"/>
        </w:rPr>
        <w:t>国有资产的总体情况:资产期末数13793.99万元，其中流动资产1839.35万元，固定资产8133.65万元。在建工程3820.99万元。结合本街道实际情况，我单位制定了《北京市西城区广安门外街道办事处固定资产管理办法（试行）》办法，并严格按照此办法对国有资产进行管理。</w:t>
      </w:r>
    </w:p>
    <w:p>
      <w:pPr>
        <w:ind w:firstLine="640" w:firstLineChars="200"/>
        <w:rPr>
          <w:rFonts w:ascii="楷体" w:hAnsi="楷体" w:eastAsia="楷体"/>
          <w:sz w:val="32"/>
          <w:szCs w:val="30"/>
        </w:rPr>
      </w:pPr>
      <w:bookmarkStart w:id="0" w:name="_Toc2408_WPSOffice_Level2"/>
      <w:bookmarkStart w:id="1" w:name="_Toc1553_WPSOffice_Level2"/>
      <w:r>
        <w:rPr>
          <w:rFonts w:hint="eastAsia" w:ascii="楷体" w:hAnsi="楷体" w:eastAsia="楷体"/>
          <w:sz w:val="32"/>
          <w:szCs w:val="30"/>
        </w:rPr>
        <w:t>（三）国有资本经营预算财政拨款情况说明</w:t>
      </w:r>
      <w:bookmarkEnd w:id="0"/>
      <w:bookmarkEnd w:id="1"/>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无</w:t>
      </w:r>
    </w:p>
    <w:p>
      <w:pPr>
        <w:ind w:firstLine="640" w:firstLineChars="200"/>
        <w:rPr>
          <w:rFonts w:ascii="楷体" w:hAnsi="楷体" w:eastAsia="楷体"/>
          <w:sz w:val="32"/>
          <w:szCs w:val="30"/>
        </w:rPr>
      </w:pPr>
      <w:r>
        <w:rPr>
          <w:rFonts w:hint="eastAsia" w:ascii="楷体" w:hAnsi="楷体" w:eastAsia="楷体"/>
          <w:sz w:val="32"/>
          <w:szCs w:val="30"/>
        </w:rPr>
        <w:t>（四）民生资金情况说明</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各类民生支出已由资金涉及业务科室按规定要求定期在政府信息公开专栏进行公开。</w:t>
      </w:r>
    </w:p>
    <w:p>
      <w:pPr>
        <w:ind w:firstLine="640" w:firstLineChars="200"/>
        <w:rPr>
          <w:rFonts w:ascii="黑体" w:hAnsi="黑体" w:eastAsia="黑体"/>
          <w:sz w:val="32"/>
          <w:szCs w:val="32"/>
        </w:rPr>
      </w:pPr>
      <w:bookmarkStart w:id="2" w:name="_Toc28427_WPSOffice_Level1"/>
      <w:bookmarkStart w:id="3" w:name="_Toc4049_WPSOffice_Level1"/>
      <w:r>
        <w:rPr>
          <w:rFonts w:hint="eastAsia" w:ascii="黑体" w:hAnsi="黑体" w:eastAsia="黑体"/>
          <w:sz w:val="32"/>
          <w:szCs w:val="32"/>
        </w:rPr>
        <w:t>六、名称解释</w:t>
      </w:r>
      <w:bookmarkEnd w:id="2"/>
      <w:bookmarkEnd w:id="3"/>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财政拨款收入是指单位从同级财政部门取得的财政预算资金。</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基本支出是指单位为保障其机构正常运转、完成日常工作任务而发生的人员支出和公用支出。</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项目支出是指单位为完成特定行政任务和事业发展目标 在基本支出之外所发生的支出。</w:t>
      </w:r>
    </w:p>
    <w:p>
      <w:pPr>
        <w:spacing w:line="560" w:lineRule="exact"/>
        <w:ind w:firstLine="640" w:firstLineChars="200"/>
        <w:rPr>
          <w:rFonts w:ascii="仿宋_GB2312" w:hAnsi="Times New Roman"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5D"/>
    <w:rsid w:val="000059ED"/>
    <w:rsid w:val="000066E0"/>
    <w:rsid w:val="00007891"/>
    <w:rsid w:val="00050408"/>
    <w:rsid w:val="00050661"/>
    <w:rsid w:val="00075CF0"/>
    <w:rsid w:val="000B1BD9"/>
    <w:rsid w:val="000D59ED"/>
    <w:rsid w:val="0014456A"/>
    <w:rsid w:val="00144FF6"/>
    <w:rsid w:val="002917F4"/>
    <w:rsid w:val="002D5B97"/>
    <w:rsid w:val="002E4813"/>
    <w:rsid w:val="003327D6"/>
    <w:rsid w:val="003466F0"/>
    <w:rsid w:val="00397848"/>
    <w:rsid w:val="003D687E"/>
    <w:rsid w:val="003F5889"/>
    <w:rsid w:val="00431A90"/>
    <w:rsid w:val="00455A9D"/>
    <w:rsid w:val="00484B36"/>
    <w:rsid w:val="004C3799"/>
    <w:rsid w:val="00514471"/>
    <w:rsid w:val="00546AE8"/>
    <w:rsid w:val="0055175C"/>
    <w:rsid w:val="0059325E"/>
    <w:rsid w:val="005B2337"/>
    <w:rsid w:val="005B4F58"/>
    <w:rsid w:val="005C4DDB"/>
    <w:rsid w:val="005F30FE"/>
    <w:rsid w:val="00670E81"/>
    <w:rsid w:val="00694619"/>
    <w:rsid w:val="007D1443"/>
    <w:rsid w:val="007E6C22"/>
    <w:rsid w:val="007F2AA0"/>
    <w:rsid w:val="00857A79"/>
    <w:rsid w:val="008B1D7C"/>
    <w:rsid w:val="008B799E"/>
    <w:rsid w:val="008D4C35"/>
    <w:rsid w:val="008F1651"/>
    <w:rsid w:val="009844BD"/>
    <w:rsid w:val="009B789B"/>
    <w:rsid w:val="00A12CC5"/>
    <w:rsid w:val="00A3446A"/>
    <w:rsid w:val="00A55736"/>
    <w:rsid w:val="00A72C25"/>
    <w:rsid w:val="00A7662B"/>
    <w:rsid w:val="00AA185F"/>
    <w:rsid w:val="00AC54A6"/>
    <w:rsid w:val="00B94DF3"/>
    <w:rsid w:val="00C40184"/>
    <w:rsid w:val="00C70B99"/>
    <w:rsid w:val="00C93B33"/>
    <w:rsid w:val="00D02C5D"/>
    <w:rsid w:val="00D36BBE"/>
    <w:rsid w:val="00DD1BC2"/>
    <w:rsid w:val="00DD4669"/>
    <w:rsid w:val="00E46C5C"/>
    <w:rsid w:val="00E772FE"/>
    <w:rsid w:val="00FB1057"/>
    <w:rsid w:val="00FD3DF8"/>
    <w:rsid w:val="00FD4D35"/>
    <w:rsid w:val="63942B5F"/>
    <w:rsid w:val="7C9F5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qFormat/>
    <w:uiPriority w:val="0"/>
    <w:rPr>
      <w:rFonts w:ascii="宋体" w:hAnsi="Courier New" w:cs="Times New Roman"/>
      <w:kern w:val="0"/>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纯文本 Char"/>
    <w:basedOn w:val="6"/>
    <w:link w:val="2"/>
    <w:qFormat/>
    <w:uiPriority w:val="0"/>
    <w:rPr>
      <w:rFonts w:ascii="宋体" w:hAnsi="Courier New" w:eastAsia="宋体" w:cs="Times New Roman"/>
      <w:kern w:val="0"/>
      <w:szCs w:val="20"/>
    </w:rPr>
  </w:style>
  <w:style w:type="paragraph" w:styleId="10">
    <w:name w:val="List Paragraph"/>
    <w:basedOn w:val="1"/>
    <w:qFormat/>
    <w:uiPriority w:val="34"/>
    <w:pPr>
      <w:ind w:firstLine="420" w:firstLineChars="200"/>
    </w:pPr>
    <w:rPr>
      <w:rFonts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1D9F9-490F-4BE0-9208-42B607F81E71}">
  <ds:schemaRefs/>
</ds:datastoreItem>
</file>

<file path=docProps/app.xml><?xml version="1.0" encoding="utf-8"?>
<Properties xmlns="http://schemas.openxmlformats.org/officeDocument/2006/extended-properties" xmlns:vt="http://schemas.openxmlformats.org/officeDocument/2006/docPropsVTypes">
  <Template>Normal</Template>
  <Pages>6</Pages>
  <Words>462</Words>
  <Characters>2637</Characters>
  <Lines>21</Lines>
  <Paragraphs>6</Paragraphs>
  <TotalTime>0</TotalTime>
  <ScaleCrop>false</ScaleCrop>
  <LinksUpToDate>false</LinksUpToDate>
  <CharactersWithSpaces>3093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2020-08-27T10:45:00Z</dcterms:created>
  <dc:creator>xcajqxy</dc:creator>
  <cp:lastModifiedBy>Administrator</cp:lastModifiedBy>
  <dcterms:modified xsi:type="dcterms:W3CDTF">2021-10-11T07:37:12Z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