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atLeast"/>
        <w:jc w:val="center"/>
        <w:rPr>
          <w:rFonts w:hint="eastAsia" w:ascii="方正小标宋简体" w:eastAsia="方正小标宋简体"/>
          <w:color w:val="FF0000"/>
          <w:spacing w:val="-20"/>
          <w:w w:val="90"/>
          <w:sz w:val="32"/>
          <w:szCs w:val="32"/>
        </w:rPr>
      </w:pPr>
      <w:r>
        <w:rPr>
          <w:rFonts w:hint="eastAsia" w:ascii="仿宋_GB2312" w:eastAsia="仿宋_GB2312"/>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572770</wp:posOffset>
                </wp:positionV>
                <wp:extent cx="5615940" cy="0"/>
                <wp:effectExtent l="0" t="28575" r="7620" b="32385"/>
                <wp:wrapNone/>
                <wp:docPr id="1" name="直线 2"/>
                <wp:cNvGraphicFramePr/>
                <a:graphic xmlns:a="http://schemas.openxmlformats.org/drawingml/2006/main">
                  <a:graphicData uri="http://schemas.microsoft.com/office/word/2010/wordprocessingShape">
                    <wps:wsp>
                      <wps:cNvCnPr/>
                      <wps:spPr>
                        <a:xfrm>
                          <a:off x="0" y="0"/>
                          <a:ext cx="5615940" cy="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45.1pt;height:0pt;width:442.2pt;z-index:251658240;mso-width-relative:page;mso-height-relative:page;" filled="f" stroked="t" coordsize="21600,21600" o:gfxdata="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yWt0eNMAAAAGAQAADwAAAAAAAAABACAAAAAiAAAA&#10;ZHJzL2Rvd25yZXYueG1sUEsBAhQAFAAAAAgAh07iQKqwrzTTAQAAlAMAAA4AAAAAAAAAAQAgAAAA&#10;IgEAAGRycy9lMm9Eb2MueG1sUEsFBgAAAAAGAAYAWQEAAGcFAAAAAA==&#10;">
                <v:fill on="f" focussize="0,0"/>
                <v:stroke weight="4.5pt" color="#FF0000" linestyle="thickThin" joinstyle="round"/>
                <v:imagedata o:title=""/>
                <o:lock v:ext="edit" aspectratio="f"/>
              </v:line>
            </w:pict>
          </mc:Fallback>
        </mc:AlternateContent>
      </w:r>
      <w:r>
        <w:rPr>
          <w:rFonts w:hint="eastAsia" w:ascii="方正小标宋简体" w:eastAsia="方正小标宋简体"/>
          <w:color w:val="FF0000"/>
          <w:spacing w:val="-20"/>
          <w:w w:val="90"/>
          <w:sz w:val="60"/>
          <w:szCs w:val="60"/>
        </w:rPr>
        <w:t>北京市西城区人民政府椿树街道办事处</w:t>
      </w:r>
    </w:p>
    <w:p>
      <w:pPr>
        <w:spacing w:line="560" w:lineRule="exact"/>
        <w:jc w:val="center"/>
        <w:rPr>
          <w:rFonts w:hint="eastAsia" w:ascii="方正小标宋简体" w:eastAsia="方正小标宋简体"/>
          <w:sz w:val="32"/>
          <w:szCs w:val="44"/>
        </w:rPr>
      </w:pPr>
    </w:p>
    <w:p>
      <w:pPr>
        <w:keepNext w:val="0"/>
        <w:keepLines w:val="0"/>
        <w:pageBreakBefore w:val="0"/>
        <w:widowControl/>
        <w:kinsoku/>
        <w:wordWrap/>
        <w:overflowPunct/>
        <w:topLinePunct w:val="0"/>
        <w:autoSpaceDE/>
        <w:autoSpaceDN/>
        <w:bidi w:val="0"/>
        <w:adjustRightInd/>
        <w:snapToGrid/>
        <w:spacing w:after="136" w:line="560" w:lineRule="exact"/>
        <w:jc w:val="center"/>
        <w:textAlignment w:val="auto"/>
        <w:rPr>
          <w:rFonts w:hint="eastAsia" w:ascii="方正小标宋简体" w:hAnsi="ˎ̥" w:eastAsia="方正小标宋简体" w:cs="宋体"/>
          <w:kern w:val="0"/>
          <w:sz w:val="44"/>
          <w:szCs w:val="44"/>
          <w:lang w:eastAsia="zh-CN"/>
        </w:rPr>
      </w:pPr>
      <w:r>
        <w:rPr>
          <w:rFonts w:hint="eastAsia" w:ascii="方正小标宋简体" w:hAnsi="ˎ̥" w:eastAsia="方正小标宋简体" w:cs="宋体"/>
          <w:kern w:val="0"/>
          <w:sz w:val="44"/>
          <w:szCs w:val="44"/>
        </w:rPr>
        <w:t>北京市西城区</w:t>
      </w:r>
      <w:r>
        <w:rPr>
          <w:rFonts w:hint="eastAsia" w:ascii="方正小标宋简体" w:hAnsi="ˎ̥" w:eastAsia="方正小标宋简体" w:cs="宋体"/>
          <w:kern w:val="0"/>
          <w:sz w:val="44"/>
          <w:szCs w:val="44"/>
          <w:lang w:eastAsia="zh-CN"/>
        </w:rPr>
        <w:t>人民政府椿树街道办事处</w:t>
      </w:r>
    </w:p>
    <w:p>
      <w:pPr>
        <w:keepNext w:val="0"/>
        <w:keepLines w:val="0"/>
        <w:pageBreakBefore w:val="0"/>
        <w:widowControl/>
        <w:kinsoku/>
        <w:wordWrap/>
        <w:overflowPunct/>
        <w:topLinePunct w:val="0"/>
        <w:autoSpaceDE/>
        <w:autoSpaceDN/>
        <w:bidi w:val="0"/>
        <w:adjustRightInd/>
        <w:snapToGrid/>
        <w:spacing w:after="136" w:line="560" w:lineRule="exact"/>
        <w:jc w:val="center"/>
        <w:textAlignment w:val="auto"/>
        <w:rPr>
          <w:rFonts w:hint="eastAsia" w:ascii="方正小标宋简体" w:hAnsi="ˎ̥" w:eastAsia="方正小标宋简体" w:cs="宋体"/>
          <w:kern w:val="0"/>
          <w:sz w:val="44"/>
          <w:szCs w:val="44"/>
        </w:rPr>
      </w:pPr>
      <w:r>
        <w:rPr>
          <w:rFonts w:hint="eastAsia" w:ascii="方正小标宋简体" w:hAnsi="ˎ̥" w:eastAsia="方正小标宋简体" w:cs="宋体"/>
          <w:kern w:val="0"/>
          <w:sz w:val="44"/>
          <w:szCs w:val="44"/>
        </w:rPr>
        <w:t>20</w:t>
      </w:r>
      <w:r>
        <w:rPr>
          <w:rFonts w:hint="eastAsia" w:ascii="方正小标宋简体" w:hAnsi="ˎ̥" w:eastAsia="方正小标宋简体" w:cs="宋体"/>
          <w:kern w:val="0"/>
          <w:sz w:val="44"/>
          <w:szCs w:val="44"/>
          <w:lang w:val="en-US" w:eastAsia="zh-CN"/>
        </w:rPr>
        <w:t>21</w:t>
      </w:r>
      <w:r>
        <w:rPr>
          <w:rFonts w:hint="eastAsia" w:ascii="方正小标宋简体" w:hAnsi="ˎ̥" w:eastAsia="方正小标宋简体" w:cs="宋体"/>
          <w:kern w:val="0"/>
          <w:sz w:val="44"/>
          <w:szCs w:val="44"/>
        </w:rPr>
        <w:t>年法治政府建设</w:t>
      </w:r>
      <w:r>
        <w:rPr>
          <w:rFonts w:hint="eastAsia" w:ascii="方正小标宋简体" w:hAnsi="ˎ̥" w:eastAsia="方正小标宋简体" w:cs="宋体"/>
          <w:kern w:val="0"/>
          <w:sz w:val="44"/>
          <w:szCs w:val="44"/>
          <w:lang w:eastAsia="zh-CN"/>
        </w:rPr>
        <w:t>年度情况</w:t>
      </w:r>
      <w:r>
        <w:rPr>
          <w:rFonts w:hint="eastAsia" w:ascii="方正小标宋简体" w:hAnsi="ˎ̥" w:eastAsia="方正小标宋简体" w:cs="宋体"/>
          <w:kern w:val="0"/>
          <w:sz w:val="44"/>
          <w:szCs w:val="44"/>
        </w:rPr>
        <w:t>报告</w:t>
      </w:r>
    </w:p>
    <w:p>
      <w:pPr>
        <w:pStyle w:val="3"/>
        <w:keepNext w:val="0"/>
        <w:keepLines w:val="0"/>
        <w:pageBreakBefore w:val="0"/>
        <w:kinsoku/>
        <w:wordWrap/>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区委、区政府： </w:t>
      </w:r>
    </w:p>
    <w:p>
      <w:pPr>
        <w:keepNext w:val="0"/>
        <w:keepLines w:val="0"/>
        <w:pageBreakBefore w:val="0"/>
        <w:widowControl/>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color w:val="333333"/>
          <w:sz w:val="32"/>
          <w:szCs w:val="32"/>
          <w:shd w:val="clear" w:color="auto" w:fill="FFFFFF"/>
        </w:rPr>
        <w:t>椿树街道在区委区政府的正确领导下，</w:t>
      </w:r>
      <w:r>
        <w:rPr>
          <w:rFonts w:hint="eastAsia" w:ascii="仿宋_GB2312" w:hAnsi="仿宋_GB2312" w:eastAsia="仿宋_GB2312" w:cs="仿宋_GB2312"/>
          <w:sz w:val="32"/>
          <w:szCs w:val="32"/>
        </w:rPr>
        <w:t>坚持以习近平新时代中国特色社会主义思想为指导，深入贯彻党的十九大和十九届二中、三中、四中、五中</w:t>
      </w:r>
      <w:r>
        <w:rPr>
          <w:rFonts w:hint="eastAsia" w:ascii="仿宋_GB2312" w:hAnsi="仿宋_GB2312" w:eastAsia="仿宋_GB2312" w:cs="仿宋_GB2312"/>
          <w:sz w:val="32"/>
          <w:szCs w:val="32"/>
          <w:lang w:eastAsia="zh-CN"/>
        </w:rPr>
        <w:t>、六中</w:t>
      </w:r>
      <w:r>
        <w:rPr>
          <w:rFonts w:hint="eastAsia" w:ascii="仿宋_GB2312" w:hAnsi="仿宋_GB2312" w:eastAsia="仿宋_GB2312" w:cs="仿宋_GB2312"/>
          <w:sz w:val="32"/>
          <w:szCs w:val="32"/>
        </w:rPr>
        <w:t>全会精神，</w:t>
      </w:r>
      <w:r>
        <w:rPr>
          <w:rFonts w:hint="eastAsia" w:ascii="仿宋_GB2312" w:hAnsi="仿宋_GB2312" w:eastAsia="仿宋_GB2312" w:cs="仿宋_GB2312"/>
          <w:sz w:val="32"/>
          <w:szCs w:val="32"/>
          <w:lang w:val="en-US" w:eastAsia="zh-Hans"/>
        </w:rPr>
        <w:t>全面</w:t>
      </w:r>
      <w:r>
        <w:rPr>
          <w:rFonts w:hint="eastAsia" w:ascii="仿宋_GB2312" w:hAnsi="仿宋_GB2312" w:eastAsia="仿宋_GB2312" w:cs="仿宋_GB2312"/>
          <w:sz w:val="32"/>
          <w:szCs w:val="32"/>
        </w:rPr>
        <w:t>贯彻</w:t>
      </w:r>
      <w:r>
        <w:rPr>
          <w:rFonts w:hint="eastAsia" w:ascii="仿宋_GB2312" w:hAnsi="仿宋_GB2312" w:eastAsia="仿宋_GB2312" w:cs="仿宋_GB2312"/>
          <w:sz w:val="32"/>
          <w:szCs w:val="32"/>
          <w:lang w:eastAsia="zh-CN"/>
        </w:rPr>
        <w:t>落实</w:t>
      </w:r>
      <w:r>
        <w:rPr>
          <w:rFonts w:hint="eastAsia" w:ascii="仿宋_GB2312" w:hAnsi="仿宋_GB2312" w:eastAsia="仿宋_GB2312" w:cs="仿宋_GB2312"/>
          <w:sz w:val="32"/>
          <w:szCs w:val="32"/>
        </w:rPr>
        <w:t>习近平法治思想，增强“四个意识”，坚定“四个自信”，做到“两个维护”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践行“首善示范标准”，坚守“红墙意识”，充分发挥街道在法治西城建设中的基础性作用，全面提升基层治理体系和治理能力法治化水平。</w:t>
      </w:r>
      <w:r>
        <w:rPr>
          <w:rFonts w:hint="eastAsia" w:ascii="仿宋_GB2312" w:hAnsi="仿宋_GB2312" w:eastAsia="仿宋_GB2312" w:cs="仿宋_GB2312"/>
          <w:kern w:val="0"/>
          <w:sz w:val="32"/>
          <w:szCs w:val="32"/>
        </w:rPr>
        <w:t>现将202</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年法治政府建设工作报告如下：</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一、202</w:t>
      </w:r>
      <w:r>
        <w:rPr>
          <w:rFonts w:hint="eastAsia" w:ascii="黑体" w:hAnsi="黑体" w:eastAsia="黑体" w:cs="黑体"/>
          <w:sz w:val="32"/>
          <w:szCs w:val="32"/>
          <w:lang w:val="en-US" w:eastAsia="zh-CN"/>
        </w:rPr>
        <w:t>1</w:t>
      </w:r>
      <w:r>
        <w:rPr>
          <w:rFonts w:hint="eastAsia" w:ascii="黑体" w:hAnsi="黑体" w:eastAsia="黑体" w:cs="黑体"/>
          <w:sz w:val="32"/>
          <w:szCs w:val="32"/>
        </w:rPr>
        <w:t>年度推进法治政府建设的主要举措和成效</w:t>
      </w:r>
    </w:p>
    <w:p>
      <w:pPr>
        <w:pStyle w:val="8"/>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2" w:lineRule="atLeast"/>
        <w:ind w:left="0" w:right="0" w:firstLine="420"/>
        <w:jc w:val="left"/>
        <w:rPr>
          <w:rFonts w:hint="eastAsia" w:ascii="楷体_GB2312" w:hAnsi="黑体" w:eastAsia="楷体_GB2312" w:cs="Times New Roman"/>
          <w:color w:val="000000"/>
          <w:kern w:val="2"/>
          <w:sz w:val="32"/>
          <w:szCs w:val="32"/>
          <w:lang w:val="en-US" w:eastAsia="zh-CN" w:bidi="ar-SA"/>
        </w:rPr>
      </w:pPr>
      <w:r>
        <w:rPr>
          <w:rFonts w:hint="eastAsia" w:ascii="楷体_GB2312" w:hAnsi="黑体" w:eastAsia="楷体_GB2312" w:cs="Times New Roman"/>
          <w:color w:val="000000"/>
          <w:kern w:val="2"/>
          <w:sz w:val="32"/>
          <w:szCs w:val="32"/>
          <w:lang w:val="en-US" w:eastAsia="zh-CN" w:bidi="ar-SA"/>
        </w:rPr>
        <w:t>提高政治站位，建立健全法治政府建设机制</w:t>
      </w:r>
    </w:p>
    <w:p>
      <w:pPr>
        <w:keepNext w:val="0"/>
        <w:keepLines w:val="0"/>
        <w:pageBreakBefore w:val="0"/>
        <w:numPr>
          <w:ilvl w:val="0"/>
          <w:numId w:val="0"/>
        </w:numPr>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sz w:val="32"/>
          <w:szCs w:val="32"/>
          <w:lang w:val="en-US" w:eastAsia="zh-CN"/>
        </w:rPr>
        <w:t>1.强化组织领导。</w:t>
      </w:r>
      <w:r>
        <w:rPr>
          <w:rFonts w:hint="eastAsia" w:ascii="仿宋_GB2312" w:hAnsi="仿宋_GB2312" w:eastAsia="仿宋_GB2312" w:cs="仿宋_GB2312"/>
          <w:b w:val="0"/>
          <w:bCs/>
          <w:sz w:val="32"/>
          <w:szCs w:val="32"/>
        </w:rPr>
        <w:t>认真落实法治政府建设组织保障</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严格</w:t>
      </w:r>
      <w:r>
        <w:rPr>
          <w:rFonts w:hint="eastAsia" w:ascii="仿宋_GB2312" w:hAnsi="仿宋_GB2312" w:eastAsia="仿宋_GB2312" w:cs="仿宋_GB2312"/>
          <w:sz w:val="32"/>
          <w:szCs w:val="32"/>
          <w:lang w:eastAsia="zh-CN"/>
        </w:rPr>
        <w:t>依据《北京市西城区关于进一步加强和改进街道法治建设水平的意见》，制定《椿树街道法治建设工作实施方案》及《街道法治建设工作要点及责任分工》，建立街道党工委书记和街道办事处主任为双组长，街道主管法治建设工作的党工委副书记、主管行政</w:t>
      </w:r>
      <w:r>
        <w:rPr>
          <w:rFonts w:hint="eastAsia"/>
          <w:sz w:val="30"/>
          <w:szCs w:val="30"/>
        </w:rPr>
        <mc:AlternateContent>
          <mc:Choice Requires="wps">
            <w:drawing>
              <wp:anchor distT="0" distB="0" distL="114300" distR="114300" simplePos="0" relativeHeight="251681792" behindDoc="0" locked="0" layoutInCell="1" allowOverlap="1">
                <wp:simplePos x="0" y="0"/>
                <wp:positionH relativeFrom="column">
                  <wp:posOffset>20320</wp:posOffset>
                </wp:positionH>
                <wp:positionV relativeFrom="paragraph">
                  <wp:posOffset>2194560</wp:posOffset>
                </wp:positionV>
                <wp:extent cx="5501640" cy="14605"/>
                <wp:effectExtent l="0" t="28575" r="0" b="33020"/>
                <wp:wrapNone/>
                <wp:docPr id="2" name="直线 3"/>
                <wp:cNvGraphicFramePr/>
                <a:graphic xmlns:a="http://schemas.openxmlformats.org/drawingml/2006/main">
                  <a:graphicData uri="http://schemas.microsoft.com/office/word/2010/wordprocessingShape">
                    <wps:wsp>
                      <wps:cNvCnPr/>
                      <wps:spPr>
                        <a:xfrm flipV="1">
                          <a:off x="0" y="0"/>
                          <a:ext cx="5501640" cy="14605"/>
                        </a:xfrm>
                        <a:prstGeom prst="line">
                          <a:avLst/>
                        </a:prstGeom>
                        <a:ln w="57150" cap="flat" cmpd="thinThick">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flip:y;margin-left:1.6pt;margin-top:172.8pt;height:1.15pt;width:433.2pt;z-index:251681792;mso-width-relative:page;mso-height-relative:page;" filled="f" stroked="t" coordsize="21600,21600" o:gfxdata="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Mu4Tp2QAAAAkBAAAP&#10;AAAAAAAAAAEAIAAAACIAAABkcnMvZG93bnJldi54bWxQSwECFAAUAAAACACHTuJAD0RG1t4BAACi&#10;AwAADgAAAAAAAAABACAAAAAoAQAAZHJzL2Uyb0RvYy54bWxQSwUGAAAAAAYABgBZAQAAeAUAAAAA&#10;">
                <v:fill on="f" focussize="0,0"/>
                <v:stroke weight="4.5pt" color="#FF0000" linestyle="thinThick" joinstyle="round"/>
                <v:imagedata o:title=""/>
                <o:lock v:ext="edit" aspectratio="f"/>
              </v:line>
            </w:pict>
          </mc:Fallback>
        </mc:AlternateContent>
      </w:r>
      <w:r>
        <w:rPr>
          <w:rFonts w:hint="eastAsia" w:ascii="仿宋_GB2312" w:hAnsi="仿宋_GB2312" w:eastAsia="仿宋_GB2312" w:cs="仿宋_GB2312"/>
          <w:sz w:val="32"/>
          <w:szCs w:val="32"/>
          <w:lang w:eastAsia="zh-CN"/>
        </w:rPr>
        <w:t>执法工作的副主任</w:t>
      </w:r>
      <w:r>
        <w:rPr>
          <w:rFonts w:hint="eastAsia" w:ascii="仿宋_GB2312" w:hAnsi="仿宋_GB2312" w:eastAsia="仿宋_GB2312" w:cs="仿宋_GB2312"/>
          <w:sz w:val="32"/>
          <w:szCs w:val="32"/>
        </w:rPr>
        <w:t>为副组长，</w:t>
      </w:r>
      <w:r>
        <w:rPr>
          <w:rFonts w:hint="eastAsia" w:ascii="仿宋_GB2312" w:hAnsi="仿宋_GB2312" w:eastAsia="仿宋_GB2312" w:cs="仿宋_GB2312"/>
          <w:sz w:val="32"/>
          <w:szCs w:val="32"/>
          <w:lang w:eastAsia="zh-CN"/>
        </w:rPr>
        <w:t>街道</w:t>
      </w:r>
      <w:r>
        <w:rPr>
          <w:rFonts w:hint="eastAsia" w:ascii="仿宋_GB2312" w:hAnsi="仿宋_GB2312" w:eastAsia="仿宋_GB2312" w:cs="仿宋_GB2312"/>
          <w:sz w:val="32"/>
          <w:szCs w:val="32"/>
        </w:rPr>
        <w:t>各办公室主任</w:t>
      </w:r>
      <w:r>
        <w:rPr>
          <w:rFonts w:hint="eastAsia" w:ascii="仿宋_GB2312" w:hAnsi="仿宋_GB2312" w:eastAsia="仿宋_GB2312" w:cs="仿宋_GB2312"/>
          <w:sz w:val="32"/>
          <w:szCs w:val="32"/>
          <w:lang w:eastAsia="zh-CN"/>
        </w:rPr>
        <w:t>、各社区书记</w:t>
      </w:r>
      <w:r>
        <w:rPr>
          <w:rFonts w:hint="eastAsia" w:ascii="仿宋_GB2312" w:hAnsi="仿宋_GB2312" w:eastAsia="仿宋_GB2312" w:cs="仿宋_GB2312"/>
          <w:sz w:val="32"/>
          <w:szCs w:val="32"/>
        </w:rPr>
        <w:t>为成员的街道法治政府建设领导小</w:t>
      </w:r>
      <w:r>
        <w:rPr>
          <w:rFonts w:hint="eastAsia" w:ascii="仿宋_GB2312" w:hAnsi="仿宋_GB2312" w:eastAsia="仿宋_GB2312" w:cs="仿宋_GB2312"/>
          <w:sz w:val="32"/>
          <w:szCs w:val="32"/>
          <w:lang w:eastAsia="zh-CN"/>
        </w:rPr>
        <w:t>组，构成了在街道党工委统一领导下,主要领导负责抓，分管领导具体抓，相关部门、社区配合抓的工作局面，形成一级抓一级，逐级抓落实的层级工作体系，确保法治政府建设各项工作落到实处。</w:t>
      </w:r>
    </w:p>
    <w:p>
      <w:pPr>
        <w:keepNext w:val="0"/>
        <w:keepLines w:val="0"/>
        <w:pageBreakBefore w:val="0"/>
        <w:numPr>
          <w:ilvl w:val="0"/>
          <w:numId w:val="0"/>
        </w:numPr>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2.强化学法用法。</w:t>
      </w:r>
      <w:r>
        <w:rPr>
          <w:rFonts w:hint="eastAsia" w:ascii="仿宋_GB2312" w:hAnsi="仿宋_GB2312" w:eastAsia="仿宋_GB2312" w:cs="仿宋_GB2312"/>
          <w:sz w:val="32"/>
          <w:szCs w:val="32"/>
          <w:lang w:eastAsia="zh-CN"/>
        </w:rPr>
        <w:t>我街道始终坚持用习近平新时代中国特色社会主义思想统领法治建设工作。加强领导干部学法用法制度，坚持和完善党工委中心组学法制度和领导干部集中学法制度，将习近平法治思想、法治政府建设实施纲要、市区法治建设规划等重要理论政策文件纳入理论中心组学习计划，健全并落实领导干部学法制度，确保办公会会前学法每年不少于4次，组织法治讲座不少于2次；积极参加全区组织的依法行政相关培训，全面提高领导干部运用法治思维和法治方式抓改革、谋发展、促稳定的思想自觉和行动自觉，做到学法的计划、内容、时间、人员、效果“五落实”。</w:t>
      </w:r>
    </w:p>
    <w:p>
      <w:pPr>
        <w:keepNext w:val="0"/>
        <w:keepLines w:val="0"/>
        <w:pageBreakBefore w:val="0"/>
        <w:kinsoku/>
        <w:wordWrap/>
        <w:topLinePunct w:val="0"/>
        <w:autoSpaceDE/>
        <w:autoSpaceDN/>
        <w:bidi w:val="0"/>
        <w:adjustRightInd/>
        <w:snapToGrid/>
        <w:spacing w:line="560" w:lineRule="exact"/>
        <w:ind w:firstLine="6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b w:val="0"/>
          <w:bCs w:val="0"/>
          <w:sz w:val="32"/>
          <w:szCs w:val="32"/>
          <w:lang w:eastAsia="zh-CN"/>
        </w:rPr>
        <w:t>强化</w:t>
      </w:r>
      <w:r>
        <w:rPr>
          <w:rFonts w:hint="eastAsia" w:ascii="仿宋_GB2312" w:hAnsi="仿宋_GB2312" w:eastAsia="仿宋_GB2312" w:cs="仿宋_GB2312"/>
          <w:b w:val="0"/>
          <w:bCs w:val="0"/>
          <w:sz w:val="32"/>
          <w:szCs w:val="32"/>
        </w:rPr>
        <w:t>依法决策</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建立健全以司法所工作人员为主体、吸收律师参加的街道法律顾问队伍，</w:t>
      </w:r>
      <w:r>
        <w:rPr>
          <w:rFonts w:hint="eastAsia" w:ascii="仿宋_GB2312" w:hAnsi="仿宋_GB2312" w:eastAsia="仿宋_GB2312" w:cs="仿宋_GB2312"/>
          <w:sz w:val="32"/>
          <w:szCs w:val="32"/>
          <w:lang w:eastAsia="zh-CN"/>
        </w:rPr>
        <w:t>充分</w:t>
      </w:r>
      <w:r>
        <w:rPr>
          <w:rFonts w:hint="eastAsia" w:ascii="仿宋_GB2312" w:hAnsi="仿宋_GB2312" w:eastAsia="仿宋_GB2312" w:cs="仿宋_GB2312"/>
          <w:sz w:val="32"/>
          <w:szCs w:val="32"/>
        </w:rPr>
        <w:t>发挥法律顾问在</w:t>
      </w:r>
      <w:r>
        <w:rPr>
          <w:rFonts w:hint="eastAsia" w:ascii="仿宋_GB2312" w:hAnsi="仿宋_GB2312" w:eastAsia="仿宋_GB2312" w:cs="仿宋_GB2312"/>
          <w:sz w:val="32"/>
          <w:szCs w:val="32"/>
          <w:lang w:eastAsia="zh-CN"/>
        </w:rPr>
        <w:t>街道</w:t>
      </w:r>
      <w:r>
        <w:rPr>
          <w:rFonts w:hint="eastAsia" w:ascii="仿宋_GB2312" w:hAnsi="仿宋_GB2312" w:eastAsia="仿宋_GB2312" w:cs="仿宋_GB2312"/>
          <w:sz w:val="32"/>
          <w:szCs w:val="32"/>
        </w:rPr>
        <w:t>进行重大决策、推进依法行政中的积极作用，严格落实合法性审核机制</w:t>
      </w:r>
      <w:r>
        <w:rPr>
          <w:rFonts w:hint="eastAsia" w:ascii="仿宋_GB2312" w:hAnsi="仿宋_GB2312" w:eastAsia="仿宋_GB2312" w:cs="仿宋_GB2312"/>
          <w:sz w:val="32"/>
          <w:szCs w:val="32"/>
          <w:lang w:eastAsia="zh-CN"/>
        </w:rPr>
        <w:t>、集体讨论决定制度，</w:t>
      </w:r>
      <w:r>
        <w:rPr>
          <w:rFonts w:hint="eastAsia" w:ascii="仿宋_GB2312" w:hAnsi="仿宋_GB2312" w:eastAsia="仿宋_GB2312" w:cs="仿宋_GB2312"/>
          <w:sz w:val="32"/>
          <w:szCs w:val="32"/>
        </w:rPr>
        <w:t>确保决策科学、程序正当、过程公开、责任明确</w:t>
      </w:r>
      <w:r>
        <w:rPr>
          <w:rFonts w:hint="eastAsia" w:ascii="仿宋_GB2312" w:hAnsi="仿宋_GB2312" w:eastAsia="仿宋_GB2312" w:cs="仿宋_GB2312"/>
          <w:sz w:val="32"/>
          <w:szCs w:val="32"/>
          <w:lang w:eastAsia="zh-CN"/>
        </w:rPr>
        <w:t>。截止</w:t>
      </w:r>
      <w:r>
        <w:rPr>
          <w:rFonts w:hint="eastAsia" w:ascii="仿宋_GB2312" w:hAnsi="仿宋_GB2312" w:eastAsia="仿宋_GB2312" w:cs="仿宋_GB2312"/>
          <w:sz w:val="32"/>
          <w:szCs w:val="32"/>
          <w:lang w:val="en-US" w:eastAsia="zh-CN"/>
        </w:rPr>
        <w:t>目前，司法所审核重大执法案件21起，街道法律顾问参与起草、审核和修改合同、规章制度等事项共计251件。为我</w:t>
      </w:r>
      <w:r>
        <w:rPr>
          <w:rFonts w:hint="eastAsia" w:ascii="仿宋_GB2312" w:hAnsi="仿宋_GB2312" w:eastAsia="仿宋_GB2312" w:cs="仿宋_GB2312"/>
          <w:sz w:val="32"/>
          <w:szCs w:val="32"/>
          <w:lang w:eastAsia="zh-CN"/>
        </w:rPr>
        <w:t>街道重大决策、重大民商事行为等经济社会活动提供了法律服务与支持，进一步推进</w:t>
      </w:r>
      <w:r>
        <w:rPr>
          <w:rFonts w:hint="eastAsia" w:ascii="仿宋_GB2312" w:hAnsi="仿宋_GB2312" w:eastAsia="仿宋_GB2312" w:cs="仿宋_GB2312"/>
          <w:sz w:val="32"/>
          <w:szCs w:val="32"/>
        </w:rPr>
        <w:t>各项</w:t>
      </w:r>
      <w:r>
        <w:rPr>
          <w:rFonts w:hint="eastAsia" w:ascii="仿宋_GB2312" w:hAnsi="仿宋_GB2312" w:eastAsia="仿宋_GB2312" w:cs="仿宋_GB2312"/>
          <w:sz w:val="32"/>
          <w:szCs w:val="32"/>
          <w:lang w:eastAsia="zh-CN"/>
        </w:rPr>
        <w:t>行政决策法治化。</w:t>
      </w:r>
    </w:p>
    <w:p>
      <w:pPr>
        <w:pStyle w:val="19"/>
        <w:rPr>
          <w:rFonts w:hint="eastAsia"/>
          <w:lang w:eastAsia="zh-CN"/>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2" w:lineRule="atLeast"/>
        <w:ind w:left="0" w:right="0" w:firstLine="420"/>
        <w:jc w:val="left"/>
        <w:rPr>
          <w:rFonts w:hint="eastAsia" w:ascii="楷体_GB2312" w:hAnsi="黑体" w:eastAsia="楷体_GB2312" w:cs="Times New Roman"/>
          <w:color w:val="000000"/>
          <w:kern w:val="2"/>
          <w:sz w:val="32"/>
          <w:szCs w:val="32"/>
          <w:lang w:val="en-US" w:eastAsia="zh-CN" w:bidi="ar-SA"/>
        </w:rPr>
      </w:pPr>
      <w:r>
        <w:rPr>
          <w:rFonts w:hint="eastAsia" w:ascii="楷体_GB2312" w:hAnsi="楷体_GB2312" w:eastAsia="楷体_GB2312" w:cs="楷体_GB2312"/>
          <w:kern w:val="0"/>
          <w:sz w:val="32"/>
          <w:szCs w:val="32"/>
          <w:lang w:val="en-US" w:eastAsia="zh-CN" w:bidi="ar-SA"/>
        </w:rPr>
        <w:t>（二）提升街道法治水平，构建科学法治建设体系</w:t>
      </w:r>
    </w:p>
    <w:p>
      <w:pPr>
        <w:keepNext w:val="0"/>
        <w:keepLines w:val="0"/>
        <w:pageBreakBefore w:val="0"/>
        <w:numPr>
          <w:ilvl w:val="0"/>
          <w:numId w:val="0"/>
        </w:numPr>
        <w:kinsoku/>
        <w:wordWrap/>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1.</w:t>
      </w:r>
      <w:r>
        <w:rPr>
          <w:rFonts w:hint="eastAsia" w:ascii="仿宋_GB2312" w:hAnsi="仿宋_GB2312" w:eastAsia="仿宋_GB2312" w:cs="仿宋_GB2312"/>
          <w:sz w:val="32"/>
          <w:szCs w:val="32"/>
          <w:lang w:eastAsia="zh-CN"/>
        </w:rPr>
        <w:t>规范权力运行</w:t>
      </w:r>
      <w:r>
        <w:rPr>
          <w:rFonts w:hint="eastAsia" w:ascii="仿宋_GB2312" w:hAnsi="仿宋_GB2312" w:eastAsia="仿宋_GB2312" w:cs="仿宋_GB2312"/>
          <w:sz w:val="32"/>
          <w:szCs w:val="32"/>
        </w:rPr>
        <w:t>。严格按照政务公开要求开展工作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范编制政府信息公开目录和公开指南，公开的信息及时到位、格式规范、分类准确。进一步落实行政许可和行政处罚双公示制度，依法规范行政执法流程，按照政府权力清单的要求，公开权力运行过程和结果，进一步强化依法行政，提高政府工作透明度，以政务公开监督权力规范运行，促进政府职能转变。规范公正文明执法，</w:t>
      </w:r>
      <w:r>
        <w:rPr>
          <w:rFonts w:hint="eastAsia" w:ascii="仿宋_GB2312" w:hAnsi="仿宋_GB2312" w:eastAsia="仿宋_GB2312" w:cs="仿宋_GB2312"/>
          <w:sz w:val="32"/>
          <w:szCs w:val="32"/>
          <w:lang w:eastAsia="zh-CN"/>
        </w:rPr>
        <w:t>督促街道执法队</w:t>
      </w:r>
      <w:r>
        <w:rPr>
          <w:rFonts w:hint="eastAsia" w:ascii="仿宋_GB2312" w:hAnsi="仿宋_GB2312" w:eastAsia="仿宋_GB2312" w:cs="仿宋_GB2312"/>
          <w:sz w:val="32"/>
          <w:szCs w:val="32"/>
        </w:rPr>
        <w:t>全面落实行政执法“三项制度”,完善行政执法操作流程,健全行政执法的记录和公示制度,规范行政处罚自由裁量权,实现规范、公正、文明执法。</w:t>
      </w:r>
    </w:p>
    <w:p>
      <w:pPr>
        <w:keepNext w:val="0"/>
        <w:keepLines w:val="0"/>
        <w:pageBreakBefore w:val="0"/>
        <w:numPr>
          <w:ilvl w:val="0"/>
          <w:numId w:val="0"/>
        </w:numPr>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维护</w:t>
      </w:r>
      <w:r>
        <w:rPr>
          <w:rFonts w:hint="eastAsia" w:ascii="仿宋_GB2312" w:hAnsi="仿宋_GB2312" w:eastAsia="仿宋_GB2312" w:cs="仿宋_GB2312"/>
          <w:sz w:val="32"/>
          <w:szCs w:val="32"/>
        </w:rPr>
        <w:t>司法权威。严格按照《中共中央关于全面推进依法治国若干重大问题的决定》中关于“健全行政机关依法出庭应诉、支持法院受理行政案件、尊重并执行法院生效裁判的制度”的要求，充分认识做好行政应诉工作的重要意义，严格依法行政，全面、正确、及时履行法定职责，自觉接受人民法院依照《行政诉讼法》对行政机关依法行使职权的监督，切实做好出庭应诉的各项准备工作，切实发挥政府法律顾问的积极作用，充分听取对有关案件的意见和建议，尊重并自觉履行人民法院生效裁判。</w:t>
      </w:r>
      <w:r>
        <w:rPr>
          <w:rFonts w:hint="eastAsia" w:ascii="仿宋_GB2312" w:hAnsi="仿宋_GB2312" w:eastAsia="仿宋_GB2312" w:cs="仿宋_GB2312"/>
          <w:sz w:val="32"/>
          <w:szCs w:val="32"/>
          <w:lang w:eastAsia="zh-CN"/>
        </w:rPr>
        <w:t>截止</w:t>
      </w:r>
      <w:r>
        <w:rPr>
          <w:rFonts w:hint="eastAsia" w:ascii="仿宋_GB2312" w:hAnsi="仿宋_GB2312" w:eastAsia="仿宋_GB2312" w:cs="仿宋_GB2312"/>
          <w:sz w:val="32"/>
          <w:szCs w:val="32"/>
          <w:lang w:val="en-US" w:eastAsia="zh-CN"/>
        </w:rPr>
        <w:t>12月12日，街道共接到行政复议案件1起、行政诉讼案件3起，由行政</w:t>
      </w:r>
      <w:r>
        <w:rPr>
          <w:rFonts w:hint="eastAsia" w:ascii="仿宋_GB2312" w:hAnsi="仿宋_GB2312" w:eastAsia="仿宋_GB2312" w:cs="仿宋_GB2312"/>
          <w:sz w:val="32"/>
          <w:szCs w:val="32"/>
        </w:rPr>
        <w:t>机关负责人出庭应诉</w:t>
      </w:r>
      <w:r>
        <w:rPr>
          <w:rFonts w:hint="eastAsia" w:ascii="仿宋_GB2312" w:hAnsi="仿宋_GB2312" w:eastAsia="仿宋_GB2312" w:cs="仿宋_GB2312"/>
          <w:sz w:val="32"/>
          <w:szCs w:val="32"/>
          <w:lang w:eastAsia="zh-CN"/>
        </w:rPr>
        <w:t>案件</w:t>
      </w:r>
      <w:r>
        <w:rPr>
          <w:rFonts w:hint="eastAsia" w:ascii="仿宋_GB2312" w:hAnsi="仿宋_GB2312" w:eastAsia="仿宋_GB2312" w:cs="仿宋_GB2312"/>
          <w:sz w:val="32"/>
          <w:szCs w:val="32"/>
          <w:lang w:val="en-US" w:eastAsia="zh-CN"/>
        </w:rPr>
        <w:t>3起，出庭应诉率达到100%，履行并执行生效判决3起。</w:t>
      </w:r>
    </w:p>
    <w:p>
      <w:pPr>
        <w:keepNext w:val="0"/>
        <w:keepLines w:val="0"/>
        <w:pageBreakBefore w:val="0"/>
        <w:widowControl w:val="0"/>
        <w:kinsoku/>
        <w:wordWrap/>
        <w:overflowPunct/>
        <w:topLinePunct w:val="0"/>
        <w:autoSpaceDE/>
        <w:autoSpaceDN/>
        <w:bidi w:val="0"/>
        <w:adjustRightInd/>
        <w:snapToGrid/>
        <w:spacing w:line="580" w:lineRule="exact"/>
        <w:ind w:firstLine="680"/>
        <w:jc w:val="left"/>
        <w:textAlignment w:val="auto"/>
        <w:rPr>
          <w:rFonts w:hint="eastAsia" w:ascii="仿宋_GB2312" w:hAnsi="Calibri" w:eastAsia="仿宋_GB2312" w:cs="仿宋_GB2312"/>
          <w:color w:val="000000"/>
          <w:sz w:val="32"/>
          <w:szCs w:val="32"/>
          <w:lang w:eastAsia="zh-CN"/>
        </w:rPr>
      </w:pPr>
      <w:r>
        <w:rPr>
          <w:rFonts w:hint="eastAsia" w:ascii="仿宋_GB2312" w:hAnsi="仿宋_GB2312" w:eastAsia="仿宋_GB2312" w:cs="仿宋_GB2312"/>
          <w:sz w:val="32"/>
          <w:szCs w:val="32"/>
          <w:lang w:val="en-US" w:eastAsia="zh-CN"/>
        </w:rPr>
        <w:t>3.推进便民服务。</w:t>
      </w:r>
      <w:r>
        <w:rPr>
          <w:rFonts w:hint="eastAsia" w:ascii="仿宋_GB2312" w:hAnsi="Calibri" w:eastAsia="仿宋_GB2312" w:cs="仿宋_GB2312"/>
          <w:b w:val="0"/>
          <w:bCs w:val="0"/>
          <w:color w:val="000000"/>
          <w:sz w:val="32"/>
          <w:szCs w:val="32"/>
          <w:lang w:val="en-US" w:eastAsia="zh-CN"/>
        </w:rPr>
        <w:t>规范</w:t>
      </w:r>
      <w:r>
        <w:rPr>
          <w:rFonts w:hint="eastAsia" w:ascii="仿宋_GB2312" w:hAnsi="Calibri" w:eastAsia="仿宋_GB2312" w:cs="仿宋_GB2312"/>
          <w:b w:val="0"/>
          <w:bCs w:val="0"/>
          <w:color w:val="000000"/>
          <w:sz w:val="32"/>
          <w:szCs w:val="32"/>
          <w:lang w:eastAsia="zh-CN"/>
        </w:rPr>
        <w:t>“一门”“一窗”受理范围，</w:t>
      </w:r>
      <w:r>
        <w:rPr>
          <w:rFonts w:hint="eastAsia" w:ascii="仿宋_GB2312" w:hAnsi="Calibri" w:eastAsia="仿宋_GB2312" w:cs="仿宋_GB2312"/>
          <w:color w:val="000000"/>
          <w:sz w:val="32"/>
          <w:szCs w:val="32"/>
          <w:lang w:eastAsia="zh-CN"/>
        </w:rPr>
        <w:t>“一门”进驻率和“一窗”受理率均实现100%</w:t>
      </w:r>
      <w:r>
        <w:rPr>
          <w:rFonts w:hint="eastAsia" w:ascii="仿宋_GB2312" w:hAnsi="宋体" w:eastAsia="仿宋_GB2312"/>
          <w:color w:val="000000"/>
          <w:sz w:val="32"/>
          <w:szCs w:val="32"/>
          <w:lang w:val="en-US" w:eastAsia="zh-CN"/>
        </w:rPr>
        <w:t>。</w:t>
      </w:r>
      <w:r>
        <w:rPr>
          <w:rFonts w:hint="eastAsia" w:ascii="仿宋_GB2312" w:hAnsi="Calibri" w:eastAsia="仿宋_GB2312" w:cs="仿宋_GB2312"/>
          <w:color w:val="000000"/>
          <w:sz w:val="32"/>
          <w:szCs w:val="32"/>
          <w:lang w:eastAsia="zh-CN"/>
        </w:rPr>
        <w:t>落实政务服务延时机制，实行法定工作日“早晚弹性办”“午间不间断”和“周末不休息”的延时服务，全年接待1</w:t>
      </w:r>
      <w:r>
        <w:rPr>
          <w:rFonts w:hint="eastAsia" w:ascii="仿宋_GB2312" w:hAnsi="Calibri" w:eastAsia="仿宋_GB2312" w:cs="仿宋_GB2312"/>
          <w:color w:val="000000"/>
          <w:sz w:val="32"/>
          <w:szCs w:val="32"/>
          <w:lang w:val="en-US" w:eastAsia="zh-CN"/>
        </w:rPr>
        <w:t>.7万</w:t>
      </w:r>
      <w:r>
        <w:rPr>
          <w:rFonts w:hint="eastAsia" w:ascii="仿宋_GB2312" w:hAnsi="Calibri" w:eastAsia="仿宋_GB2312" w:cs="仿宋_GB2312"/>
          <w:color w:val="000000"/>
          <w:sz w:val="32"/>
          <w:szCs w:val="32"/>
          <w:lang w:eastAsia="zh-CN"/>
        </w:rPr>
        <w:t>余人次。设立“悉心听”窗口，对群众反映的问题快速响应。城镇登记失业人员就业</w:t>
      </w:r>
      <w:r>
        <w:rPr>
          <w:rFonts w:hint="eastAsia" w:ascii="仿宋_GB2312" w:hAnsi="Calibri" w:eastAsia="仿宋_GB2312" w:cs="仿宋_GB2312"/>
          <w:color w:val="000000"/>
          <w:sz w:val="32"/>
          <w:szCs w:val="32"/>
          <w:lang w:val="en-US" w:eastAsia="zh-CN"/>
        </w:rPr>
        <w:t>498</w:t>
      </w:r>
      <w:r>
        <w:rPr>
          <w:rFonts w:hint="eastAsia" w:ascii="仿宋_GB2312" w:hAnsi="Calibri" w:eastAsia="仿宋_GB2312" w:cs="仿宋_GB2312"/>
          <w:color w:val="000000"/>
          <w:sz w:val="32"/>
          <w:szCs w:val="32"/>
          <w:lang w:eastAsia="zh-CN"/>
        </w:rPr>
        <w:t>人，“零就业家庭”动态清零；城乡居民基本医疗保险新参</w:t>
      </w:r>
      <w:r>
        <w:rPr>
          <w:rFonts w:hint="eastAsia" w:ascii="仿宋_GB2312" w:hAnsi="Calibri" w:eastAsia="仿宋_GB2312" w:cs="仿宋_GB2312"/>
          <w:color w:val="000000"/>
          <w:sz w:val="32"/>
          <w:szCs w:val="32"/>
          <w:lang w:val="en-US" w:eastAsia="zh-CN"/>
        </w:rPr>
        <w:t>356人。</w:t>
      </w:r>
      <w:r>
        <w:rPr>
          <w:rFonts w:hint="eastAsia" w:ascii="仿宋_GB2312" w:hAnsi="Calibri" w:eastAsia="仿宋_GB2312" w:cs="仿宋_GB2312"/>
          <w:color w:val="000000"/>
          <w:sz w:val="32"/>
          <w:szCs w:val="32"/>
          <w:lang w:eastAsia="zh-CN"/>
        </w:rPr>
        <w:t>巩固“全国示范型退役军人服务站”创建成果，累计采集退役军人数据1</w:t>
      </w:r>
      <w:r>
        <w:rPr>
          <w:rFonts w:hint="eastAsia" w:ascii="仿宋_GB2312" w:hAnsi="Calibri" w:eastAsia="仿宋_GB2312" w:cs="仿宋_GB2312"/>
          <w:color w:val="000000"/>
          <w:sz w:val="32"/>
          <w:szCs w:val="32"/>
          <w:lang w:val="en-US" w:eastAsia="zh-CN"/>
        </w:rPr>
        <w:t>245</w:t>
      </w:r>
      <w:r>
        <w:rPr>
          <w:rFonts w:hint="eastAsia" w:ascii="仿宋_GB2312" w:hAnsi="Calibri" w:eastAsia="仿宋_GB2312" w:cs="仿宋_GB2312"/>
          <w:color w:val="000000"/>
          <w:sz w:val="32"/>
          <w:szCs w:val="32"/>
          <w:lang w:eastAsia="zh-CN"/>
        </w:rPr>
        <w:t>人。养老为老深化“椿龄六老”体系建设，完成</w:t>
      </w:r>
      <w:r>
        <w:rPr>
          <w:rFonts w:hint="eastAsia" w:ascii="仿宋_GB2312" w:hAnsi="Calibri" w:eastAsia="仿宋_GB2312" w:cs="仿宋_GB2312"/>
          <w:color w:val="000000"/>
          <w:sz w:val="32"/>
          <w:szCs w:val="32"/>
          <w:lang w:val="en-US" w:eastAsia="zh-CN"/>
        </w:rPr>
        <w:t>58</w:t>
      </w:r>
      <w:r>
        <w:rPr>
          <w:rFonts w:hint="eastAsia" w:ascii="仿宋_GB2312" w:hAnsi="Calibri" w:eastAsia="仿宋_GB2312" w:cs="仿宋_GB2312"/>
          <w:color w:val="000000"/>
          <w:sz w:val="32"/>
          <w:szCs w:val="32"/>
          <w:lang w:eastAsia="zh-CN"/>
        </w:rPr>
        <w:t>0名家庭养老护理员培训，建设</w:t>
      </w:r>
      <w:r>
        <w:rPr>
          <w:rFonts w:hint="eastAsia" w:ascii="仿宋_GB2312" w:hAnsi="Calibri" w:eastAsia="仿宋_GB2312" w:cs="仿宋_GB2312"/>
          <w:color w:val="000000"/>
          <w:sz w:val="32"/>
          <w:szCs w:val="32"/>
          <w:lang w:val="en-US" w:eastAsia="zh-CN"/>
        </w:rPr>
        <w:t>76</w:t>
      </w:r>
      <w:r>
        <w:rPr>
          <w:rFonts w:hint="eastAsia" w:ascii="仿宋_GB2312" w:hAnsi="Calibri" w:eastAsia="仿宋_GB2312" w:cs="仿宋_GB2312"/>
          <w:color w:val="000000"/>
          <w:sz w:val="32"/>
          <w:szCs w:val="32"/>
          <w:lang w:eastAsia="zh-CN"/>
        </w:rPr>
        <w:t>张家庭养老床位，为老志愿服务累积时长7339小时，惠及9650人次。</w:t>
      </w: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2" w:lineRule="atLeast"/>
        <w:ind w:left="420" w:leftChars="0" w:right="0" w:rightChars="0"/>
        <w:jc w:val="left"/>
        <w:rPr>
          <w:rFonts w:hint="eastAsia" w:ascii="楷体_GB2312" w:hAnsi="黑体" w:eastAsia="楷体_GB2312" w:cs="Times New Roman"/>
          <w:color w:val="000000"/>
          <w:kern w:val="2"/>
          <w:sz w:val="32"/>
          <w:szCs w:val="32"/>
          <w:lang w:val="en-US" w:eastAsia="zh-CN" w:bidi="ar-SA"/>
        </w:rPr>
      </w:pPr>
      <w:r>
        <w:rPr>
          <w:rFonts w:hint="eastAsia" w:ascii="楷体_GB2312" w:hAnsi="黑体" w:eastAsia="楷体_GB2312" w:cs="Times New Roman"/>
          <w:color w:val="000000"/>
          <w:kern w:val="2"/>
          <w:sz w:val="32"/>
          <w:szCs w:val="32"/>
          <w:lang w:val="en-US" w:eastAsia="zh-CN" w:bidi="ar-SA"/>
        </w:rPr>
        <w:t>（三）深入推进依法治理，深化共建共治共享治理格局</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kern w:val="0"/>
          <w:sz w:val="32"/>
          <w:szCs w:val="32"/>
        </w:rPr>
        <w:t>持续优化营商环境。</w:t>
      </w:r>
      <w:r>
        <w:rPr>
          <w:rFonts w:hint="eastAsia" w:ascii="仿宋_GB2312" w:hAnsi="仿宋_GB2312" w:eastAsia="仿宋_GB2312" w:cs="仿宋_GB2312"/>
          <w:sz w:val="32"/>
          <w:szCs w:val="32"/>
        </w:rPr>
        <w:t>继续深入推行行政执法检查“双随机、一公开”工作机制，切实做到全量将行政处罚结果信息在政府网站公示，并做到公示前提示告知，充分保障当事人知情权，同时严格核对公示信息，确保信息归集的准确性，并按照市区两级对信用信息归集、公布、使用和修复的规则，统筹指导并推动执法队全量、及时、准确公示适用一般程序的处罚数据，确保行政执法基本信息、动态信息公示主动、及时、准确。</w:t>
      </w:r>
    </w:p>
    <w:p>
      <w:pPr>
        <w:ind w:firstLine="640" w:firstLineChars="200"/>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完善基层治理体系。</w:t>
      </w:r>
      <w:r>
        <w:rPr>
          <w:rFonts w:hint="eastAsia" w:ascii="仿宋_GB2312" w:hAnsi="仿宋_GB2312" w:eastAsia="仿宋_GB2312" w:cs="仿宋_GB2312"/>
          <w:b w:val="0"/>
          <w:bCs w:val="0"/>
          <w:color w:val="auto"/>
          <w:sz w:val="32"/>
          <w:szCs w:val="32"/>
          <w:lang w:val="en-US" w:eastAsia="zh-CN"/>
        </w:rPr>
        <w:t>通过“一街一路”红色初心起航线、魏染书屋“聆听四点钟”红色初心课堂、建党百年主题教育实践活动等载体，助力学习教育入脑入心。围绕“惠民办实事”“党员走一线”“党员解民忧”等主题，结合“我为群众办实事”实践活动，圆满完成30个服务项目。</w:t>
      </w:r>
      <w:r>
        <w:rPr>
          <w:rFonts w:hint="eastAsia" w:ascii="仿宋_GB2312" w:hAnsi="仿宋_GB2312" w:eastAsia="仿宋_GB2312" w:cs="仿宋_GB2312"/>
          <w:color w:val="000000"/>
          <w:sz w:val="32"/>
          <w:szCs w:val="32"/>
          <w:lang w:eastAsia="zh-CN"/>
        </w:rPr>
        <w:t>巩固拓展“幸福小院”试点成果，</w:t>
      </w:r>
      <w:r>
        <w:rPr>
          <w:rFonts w:hint="eastAsia" w:ascii="仿宋_GB2312" w:hAnsi="仿宋_GB2312" w:eastAsia="仿宋_GB2312" w:cs="仿宋_GB2312"/>
          <w:b w:val="0"/>
          <w:bCs/>
          <w:color w:val="000000"/>
          <w:kern w:val="2"/>
          <w:sz w:val="32"/>
          <w:szCs w:val="32"/>
          <w:lang w:val="en-US" w:eastAsia="zh-CN" w:bidi="ar-SA"/>
        </w:rPr>
        <w:t>系统落实“把组织划小、让骨干增多、网格化管理、楼门院自治”的理念，</w:t>
      </w:r>
      <w:r>
        <w:rPr>
          <w:rFonts w:hint="eastAsia" w:ascii="仿宋_GB2312" w:hAnsi="仿宋_GB2312" w:eastAsia="仿宋_GB2312" w:cs="仿宋_GB2312"/>
          <w:color w:val="000000"/>
          <w:sz w:val="32"/>
          <w:szCs w:val="32"/>
          <w:lang w:val="en-US" w:eastAsia="zh-CN"/>
        </w:rPr>
        <w:t>发动100个楼门院参与“幸福小院”创建，挖掘百名“幸福守望者”，收集百个创建锦囊，不断</w:t>
      </w:r>
      <w:r>
        <w:rPr>
          <w:rFonts w:hint="eastAsia" w:ascii="仿宋_GB2312" w:hAnsi="仿宋_GB2312" w:eastAsia="仿宋_GB2312" w:cs="仿宋_GB2312"/>
          <w:color w:val="000000"/>
          <w:sz w:val="32"/>
          <w:szCs w:val="32"/>
        </w:rPr>
        <w:t>拓展“椿议民情坊”“五民”体系功能，引导居民积极参与民生工作民意立项和协商议事</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在全地区形成“百院百人百事”创建成果。</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楷体_GB2312" w:hAnsi="黑体" w:eastAsia="楷体_GB2312" w:cs="Times New Roman"/>
          <w:color w:val="000000"/>
          <w:kern w:val="2"/>
          <w:sz w:val="32"/>
          <w:szCs w:val="32"/>
          <w:lang w:val="en-US" w:eastAsia="zh-CN" w:bidi="ar-SA"/>
        </w:rPr>
      </w:pPr>
      <w:r>
        <w:rPr>
          <w:rFonts w:hint="eastAsia" w:ascii="楷体_GB2312" w:hAnsi="黑体" w:eastAsia="楷体_GB2312" w:cs="Times New Roman"/>
          <w:color w:val="000000"/>
          <w:kern w:val="2"/>
          <w:sz w:val="32"/>
          <w:szCs w:val="32"/>
          <w:lang w:val="en-US" w:eastAsia="zh-CN" w:bidi="ar-SA"/>
        </w:rPr>
        <w:t>(四)依法调处矛盾纠纷,有力维护地区秩序和谐稳定</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1.全方位普法</w:t>
      </w:r>
      <w:r>
        <w:rPr>
          <w:rFonts w:hint="eastAsia" w:ascii="仿宋_GB2312" w:hAnsi="仿宋_GB2312" w:eastAsia="仿宋_GB2312" w:cs="仿宋_GB2312"/>
          <w:sz w:val="32"/>
          <w:szCs w:val="32"/>
        </w:rPr>
        <w:t>。严格落实“谁执法谁普法”普法责任制，</w:t>
      </w:r>
      <w:r>
        <w:rPr>
          <w:rFonts w:hint="eastAsia" w:ascii="仿宋_GB2312" w:hAnsi="仿宋_GB2312" w:eastAsia="仿宋_GB2312" w:cs="仿宋_GB2312"/>
          <w:sz w:val="32"/>
          <w:szCs w:val="32"/>
          <w:lang w:eastAsia="zh-CN"/>
        </w:rPr>
        <w:t>深化</w:t>
      </w:r>
      <w:r>
        <w:rPr>
          <w:rFonts w:hint="eastAsia" w:ascii="仿宋_GB2312" w:hAnsi="仿宋_GB2312" w:eastAsia="仿宋_GB2312" w:cs="仿宋_GB2312"/>
          <w:sz w:val="32"/>
          <w:szCs w:val="32"/>
        </w:rPr>
        <w:t>落实</w:t>
      </w:r>
      <w:r>
        <w:rPr>
          <w:rFonts w:hint="eastAsia" w:ascii="仿宋_GB2312" w:hAnsi="仿宋_GB2312" w:eastAsia="仿宋_GB2312" w:cs="仿宋_GB2312"/>
          <w:sz w:val="32"/>
          <w:szCs w:val="32"/>
          <w:lang w:eastAsia="zh-CN"/>
        </w:rPr>
        <w:t>执法部门</w:t>
      </w:r>
      <w:r>
        <w:rPr>
          <w:rFonts w:hint="eastAsia" w:ascii="仿宋_GB2312" w:hAnsi="仿宋_GB2312" w:eastAsia="仿宋_GB2312" w:cs="仿宋_GB2312"/>
          <w:sz w:val="32"/>
          <w:szCs w:val="32"/>
        </w:rPr>
        <w:t>普法职责和普法内容。</w:t>
      </w:r>
      <w:r>
        <w:rPr>
          <w:rFonts w:hint="eastAsia" w:ascii="仿宋_GB2312" w:hAnsi="仿宋_GB2312" w:eastAsia="仿宋_GB2312" w:cs="仿宋_GB2312"/>
          <w:color w:val="000000"/>
          <w:kern w:val="0"/>
          <w:sz w:val="32"/>
          <w:szCs w:val="32"/>
          <w:lang w:val="en-US" w:eastAsia="zh-CN" w:bidi="ar-SA"/>
        </w:rPr>
        <w:t>全面落实“八五普法规划”，</w:t>
      </w:r>
      <w:r>
        <w:rPr>
          <w:rFonts w:hint="eastAsia" w:ascii="仿宋_GB2312" w:hAnsi="仿宋_GB2312" w:eastAsia="仿宋_GB2312" w:cs="仿宋_GB2312"/>
          <w:sz w:val="32"/>
          <w:szCs w:val="32"/>
        </w:rPr>
        <w:t>加强</w:t>
      </w:r>
      <w:r>
        <w:rPr>
          <w:rFonts w:hint="eastAsia" w:ascii="仿宋_GB2312" w:hAnsi="仿宋_GB2312" w:eastAsia="仿宋_GB2312" w:cs="仿宋_GB2312"/>
          <w:sz w:val="32"/>
          <w:szCs w:val="32"/>
          <w:lang w:eastAsia="zh-CN"/>
        </w:rPr>
        <w:t>社区</w:t>
      </w:r>
      <w:r>
        <w:rPr>
          <w:rFonts w:hint="eastAsia" w:ascii="仿宋_GB2312" w:hAnsi="仿宋_GB2312" w:eastAsia="仿宋_GB2312" w:cs="仿宋_GB2312"/>
          <w:sz w:val="32"/>
          <w:szCs w:val="32"/>
        </w:rPr>
        <w:t>法治宣传教育，</w:t>
      </w:r>
      <w:r>
        <w:rPr>
          <w:rFonts w:hint="eastAsia" w:ascii="仿宋_GB2312" w:hAnsi="仿宋_GB2312" w:eastAsia="仿宋_GB2312" w:cs="仿宋_GB2312"/>
          <w:color w:val="000000"/>
          <w:kern w:val="0"/>
          <w:sz w:val="32"/>
          <w:szCs w:val="32"/>
          <w:lang w:val="en-US" w:eastAsia="zh-CN" w:bidi="ar-SA"/>
        </w:rPr>
        <w:t>采用居民微信群、嗨椿树公众号、普法小课堂、现场咨询等形式，</w:t>
      </w:r>
      <w:r>
        <w:rPr>
          <w:rFonts w:hint="eastAsia" w:ascii="仿宋_GB2312" w:hAnsi="仿宋_GB2312" w:eastAsia="仿宋_GB2312" w:cs="仿宋_GB2312"/>
          <w:sz w:val="32"/>
          <w:szCs w:val="32"/>
        </w:rPr>
        <w:t>不断拓展普法途径、平台和载体，</w:t>
      </w:r>
      <w:r>
        <w:rPr>
          <w:rFonts w:hint="eastAsia" w:ascii="仿宋_GB2312" w:hAnsi="仿宋_GB2312" w:eastAsia="仿宋_GB2312" w:cs="仿宋_GB2312"/>
          <w:color w:val="000000"/>
          <w:kern w:val="0"/>
          <w:sz w:val="32"/>
          <w:szCs w:val="32"/>
          <w:lang w:val="en-US" w:eastAsia="zh-CN" w:bidi="ar-SA"/>
        </w:rPr>
        <w:t>开展民法典、宪法等各类普法宣传工作，今年以来，共举办未成年人、老年人等专项普法宣传活动7次，《民法典》、《宪法》、《北京市接诉即办条例》、北京冬奥会法治宣传等普法宣传5次，</w:t>
      </w:r>
      <w:r>
        <w:rPr>
          <w:rFonts w:hint="eastAsia" w:ascii="仿宋_GB2312" w:hAnsi="仿宋_GB2312" w:eastAsia="仿宋_GB2312" w:cs="仿宋_GB2312"/>
          <w:sz w:val="32"/>
          <w:szCs w:val="32"/>
          <w:lang w:val="en-US" w:eastAsia="zh-CN"/>
        </w:rPr>
        <w:t>共计发放宣传材料1000余份，有效</w:t>
      </w:r>
      <w:r>
        <w:rPr>
          <w:rFonts w:hint="eastAsia" w:ascii="仿宋_GB2312" w:hAnsi="仿宋_GB2312" w:eastAsia="仿宋_GB2312" w:cs="仿宋_GB2312"/>
          <w:sz w:val="32"/>
          <w:szCs w:val="32"/>
        </w:rPr>
        <w:t>提高辖区群众守法意识。</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SA"/>
        </w:rPr>
        <w:t>2.多角度讲法。</w:t>
      </w:r>
      <w:r>
        <w:rPr>
          <w:rFonts w:hint="eastAsia" w:ascii="仿宋_GB2312" w:hAnsi="仿宋_GB2312" w:eastAsia="仿宋_GB2312" w:cs="仿宋_GB2312"/>
          <w:sz w:val="32"/>
          <w:szCs w:val="32"/>
        </w:rPr>
        <w:t>积极推进公共法律服务工作站的建设，在司法所设立公共法律服务中心,在7个社区分别设立公共法律服务站,保障街道和7个社区都配有专业法律顾问,定期组织社区居民</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法律知识讲座</w:t>
      </w:r>
      <w:r>
        <w:rPr>
          <w:rFonts w:hint="eastAsia" w:ascii="仿宋_GB2312" w:hAnsi="仿宋_GB2312" w:eastAsia="仿宋_GB2312" w:cs="仿宋_GB2312"/>
          <w:sz w:val="32"/>
          <w:szCs w:val="32"/>
          <w:lang w:eastAsia="zh-CN"/>
        </w:rPr>
        <w:t>，免费提供法律咨询，</w:t>
      </w:r>
      <w:r>
        <w:rPr>
          <w:rFonts w:hint="eastAsia" w:ascii="仿宋_GB2312" w:hAnsi="仿宋_GB2312" w:eastAsia="仿宋_GB2312" w:cs="仿宋_GB2312"/>
          <w:b w:val="0"/>
          <w:bCs/>
          <w:color w:val="000000"/>
          <w:kern w:val="2"/>
          <w:sz w:val="32"/>
          <w:szCs w:val="32"/>
          <w:lang w:val="en-US" w:eastAsia="zh-CN" w:bidi="ar-SA"/>
        </w:rPr>
        <w:t>不断营造辖区居民依法理性维权、多渠道化解的良好氛围。全年共举办社区法治讲座28次，开展青少年、军人军属、农民工等</w:t>
      </w:r>
      <w:r>
        <w:rPr>
          <w:rFonts w:hint="eastAsia" w:ascii="仿宋_GB2312" w:hAnsi="仿宋_GB2312" w:eastAsia="仿宋_GB2312" w:cs="仿宋_GB2312"/>
          <w:sz w:val="32"/>
          <w:szCs w:val="32"/>
        </w:rPr>
        <w:t>公共法律服务专项维权活动</w:t>
      </w:r>
      <w:r>
        <w:rPr>
          <w:rFonts w:hint="eastAsia" w:ascii="仿宋_GB2312" w:hAnsi="仿宋_GB2312" w:eastAsia="仿宋_GB2312" w:cs="仿宋_GB2312"/>
          <w:sz w:val="32"/>
          <w:szCs w:val="32"/>
          <w:lang w:val="en-US" w:eastAsia="zh-CN"/>
        </w:rPr>
        <w:t>7次，</w:t>
      </w:r>
      <w:r>
        <w:rPr>
          <w:rFonts w:hint="eastAsia" w:ascii="仿宋_GB2312" w:hAnsi="仿宋_GB2312" w:eastAsia="仿宋_GB2312" w:cs="仿宋_GB2312"/>
          <w:sz w:val="32"/>
          <w:szCs w:val="32"/>
        </w:rPr>
        <w:t>累计提供免费法律咨询</w:t>
      </w:r>
      <w:r>
        <w:rPr>
          <w:rFonts w:hint="eastAsia" w:ascii="仿宋_GB2312" w:hAnsi="仿宋_GB2312" w:eastAsia="仿宋_GB2312" w:cs="仿宋_GB2312"/>
          <w:sz w:val="32"/>
          <w:szCs w:val="32"/>
          <w:lang w:val="en-US" w:eastAsia="zh-CN"/>
        </w:rPr>
        <w:t>300余</w:t>
      </w:r>
      <w:r>
        <w:rPr>
          <w:rFonts w:hint="eastAsia" w:ascii="仿宋_GB2312" w:hAnsi="仿宋_GB2312" w:eastAsia="仿宋_GB2312" w:cs="仿宋_GB2312"/>
          <w:sz w:val="32"/>
          <w:szCs w:val="32"/>
        </w:rPr>
        <w:t>人次。</w:t>
      </w:r>
    </w:p>
    <w:p>
      <w:pPr>
        <w:pStyle w:val="3"/>
        <w:keepNext w:val="0"/>
        <w:keepLines w:val="0"/>
        <w:pageBreakBefore w:val="0"/>
        <w:widowControl w:val="0"/>
        <w:numPr>
          <w:ilvl w:val="0"/>
          <w:numId w:val="0"/>
        </w:numPr>
        <w:kinsoku/>
        <w:wordWrap/>
        <w:overflowPunct/>
        <w:topLinePunct w:val="0"/>
        <w:bidi w:val="0"/>
        <w:snapToGrid/>
        <w:spacing w:line="520" w:lineRule="exact"/>
        <w:textAlignment w:val="auto"/>
        <w:rPr>
          <w:rFonts w:hint="eastAsia" w:ascii="仿宋_GB2312" w:hAnsi="仿宋_GB2312" w:eastAsia="仿宋_GB2312" w:cs="仿宋_GB2312"/>
          <w:color w:val="000000"/>
          <w:kern w:val="0"/>
          <w:sz w:val="32"/>
          <w:szCs w:val="32"/>
          <w:lang w:val="en-US" w:eastAsia="zh-CN" w:bidi="ar-SA"/>
        </w:rPr>
      </w:pPr>
    </w:p>
    <w:p>
      <w:pPr>
        <w:keepNext w:val="0"/>
        <w:keepLines w:val="0"/>
        <w:pageBreakBefore w:val="0"/>
        <w:widowControl w:val="0"/>
        <w:tabs>
          <w:tab w:val="left" w:pos="2160"/>
        </w:tabs>
        <w:kinsoku/>
        <w:wordWrap/>
        <w:overflowPunct/>
        <w:topLinePunct w:val="0"/>
        <w:autoSpaceDE w:val="0"/>
        <w:autoSpaceDN w:val="0"/>
        <w:bidi w:val="0"/>
        <w:adjustRightInd w:val="0"/>
        <w:snapToGrid/>
        <w:spacing w:line="520" w:lineRule="exact"/>
        <w:ind w:firstLine="640" w:firstLineChars="200"/>
        <w:textAlignment w:val="auto"/>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sz w:val="32"/>
          <w:szCs w:val="32"/>
          <w:lang w:val="en-US" w:eastAsia="zh-CN"/>
        </w:rPr>
        <w:t>3.强化矛盾化解。</w:t>
      </w:r>
      <w:r>
        <w:rPr>
          <w:rFonts w:hint="eastAsia" w:ascii="仿宋_GB2312" w:hAnsi="仿宋_GB2312" w:eastAsia="仿宋_GB2312" w:cs="仿宋_GB2312"/>
          <w:sz w:val="32"/>
          <w:szCs w:val="32"/>
        </w:rPr>
        <w:t>以受理12345政府热线为载体，建立完善案件回访、受理申诉、接待群众举报、来信来访制度。变被动受理为主动处理，</w:t>
      </w:r>
      <w:r>
        <w:rPr>
          <w:rFonts w:hint="eastAsia" w:ascii="仿宋_GB2312" w:hAnsi="仿宋_GB2312" w:eastAsia="仿宋_GB2312" w:cs="仿宋_GB2312"/>
          <w:color w:val="000000"/>
          <w:sz w:val="32"/>
          <w:szCs w:val="32"/>
        </w:rPr>
        <w:t>落实领导干部“在岗接访、主动约访、带案下访”制度</w:t>
      </w:r>
      <w:r>
        <w:rPr>
          <w:rFonts w:hint="eastAsia" w:ascii="仿宋_GB2312" w:hAnsi="仿宋_GB2312" w:eastAsia="仿宋_GB2312" w:cs="仿宋_GB2312"/>
          <w:color w:val="000000"/>
          <w:sz w:val="32"/>
          <w:szCs w:val="32"/>
          <w:lang w:eastAsia="zh-CN"/>
        </w:rPr>
        <w:t>，全年</w:t>
      </w:r>
      <w:r>
        <w:rPr>
          <w:rFonts w:hint="eastAsia" w:ascii="仿宋_GB2312" w:hAnsi="仿宋_GB2312" w:eastAsia="仿宋_GB2312" w:cs="仿宋_GB2312"/>
          <w:color w:val="000000"/>
          <w:sz w:val="32"/>
          <w:szCs w:val="32"/>
        </w:rPr>
        <w:t>接访</w:t>
      </w:r>
      <w:r>
        <w:rPr>
          <w:rFonts w:hint="eastAsia" w:ascii="仿宋_GB2312" w:hAnsi="仿宋_GB2312" w:eastAsia="仿宋_GB2312" w:cs="仿宋_GB2312"/>
          <w:color w:val="000000"/>
          <w:sz w:val="32"/>
          <w:szCs w:val="32"/>
          <w:lang w:val="en-US" w:eastAsia="zh-CN"/>
        </w:rPr>
        <w:t>15</w:t>
      </w:r>
      <w:r>
        <w:rPr>
          <w:rFonts w:hint="eastAsia" w:ascii="仿宋_GB2312" w:hAnsi="仿宋_GB2312" w:eastAsia="仿宋_GB2312" w:cs="仿宋_GB2312"/>
          <w:color w:val="000000"/>
          <w:sz w:val="32"/>
          <w:szCs w:val="32"/>
        </w:rPr>
        <w:t>件</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0余人次。</w:t>
      </w:r>
      <w:r>
        <w:rPr>
          <w:rFonts w:hint="eastAsia" w:ascii="仿宋_GB2312" w:hAnsi="仿宋_GB2312" w:eastAsia="仿宋_GB2312" w:cs="仿宋_GB2312"/>
          <w:color w:val="000000"/>
          <w:sz w:val="32"/>
          <w:szCs w:val="32"/>
          <w:lang w:eastAsia="zh-CN"/>
        </w:rPr>
        <w:t>定期召开矛盾排查调处会，评估社会风险，把矛盾化解在萌芽状态。</w:t>
      </w:r>
      <w:r>
        <w:rPr>
          <w:rFonts w:hint="eastAsia" w:ascii="仿宋_GB2312" w:hAnsi="仿宋_GB2312" w:eastAsia="仿宋_GB2312" w:cs="仿宋_GB2312"/>
          <w:sz w:val="32"/>
          <w:szCs w:val="32"/>
        </w:rPr>
        <w:t>截止</w:t>
      </w:r>
      <w:r>
        <w:rPr>
          <w:rFonts w:hint="eastAsia" w:ascii="仿宋_GB2312" w:hAnsi="仿宋_GB2312" w:eastAsia="仿宋_GB2312" w:cs="仿宋_GB2312"/>
          <w:sz w:val="32"/>
          <w:szCs w:val="32"/>
          <w:lang w:val="en-US" w:eastAsia="zh-CN"/>
        </w:rPr>
        <w:t>目前</w:t>
      </w:r>
      <w:r>
        <w:rPr>
          <w:rFonts w:hint="eastAsia" w:ascii="仿宋_GB2312" w:hAnsi="仿宋_GB2312" w:eastAsia="仿宋_GB2312" w:cs="仿宋_GB2312"/>
          <w:sz w:val="32"/>
          <w:szCs w:val="32"/>
        </w:rPr>
        <w:t>，</w:t>
      </w:r>
      <w:r>
        <w:rPr>
          <w:rFonts w:hint="eastAsia" w:ascii="仿宋_GB2312" w:hAnsi="仿宋_GB2312" w:eastAsia="仿宋_GB2312" w:cs="仿宋_GB2312"/>
          <w:b w:val="0"/>
          <w:bCs/>
          <w:color w:val="000000"/>
          <w:kern w:val="2"/>
          <w:sz w:val="32"/>
          <w:szCs w:val="32"/>
          <w:lang w:val="en-US" w:eastAsia="zh-CN" w:bidi="ar-SA"/>
        </w:rPr>
        <w:t>共受理人民调解案件10件，成功调解10件，调解成功率100%。特殊时期完成矛盾纠纷排查655次，口头调解和快速调解354件。行政调解调处案件23件，涉及44人，涉及赔偿金等3.19万元。</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4.强化重点维稳。</w:t>
      </w:r>
      <w:r>
        <w:rPr>
          <w:rFonts w:hint="eastAsia" w:ascii="仿宋_GB2312" w:hAnsi="仿宋_GB2312" w:eastAsia="仿宋_GB2312" w:cs="仿宋_GB2312"/>
          <w:sz w:val="32"/>
          <w:szCs w:val="32"/>
        </w:rPr>
        <w:t>在落实安置帮教工作方面，辖区内</w:t>
      </w:r>
      <w:r>
        <w:rPr>
          <w:rFonts w:hint="eastAsia" w:ascii="仿宋_GB2312" w:hAnsi="仿宋_GB2312" w:eastAsia="仿宋_GB2312" w:cs="仿宋_GB2312"/>
          <w:kern w:val="2"/>
          <w:sz w:val="32"/>
          <w:szCs w:val="32"/>
          <w:lang w:val="zh-CN" w:eastAsia="zh-CN" w:bidi="ar-SA"/>
        </w:rPr>
        <w:t>在册刑释解教人员</w:t>
      </w:r>
      <w:r>
        <w:rPr>
          <w:rFonts w:hint="eastAsia" w:ascii="仿宋_GB2312" w:hAnsi="仿宋_GB2312" w:eastAsia="仿宋_GB2312" w:cs="仿宋_GB2312"/>
          <w:sz w:val="32"/>
          <w:szCs w:val="32"/>
          <w:lang w:val="en-US" w:eastAsia="zh-CN"/>
        </w:rPr>
        <w:t>51</w:t>
      </w:r>
      <w:r>
        <w:rPr>
          <w:rFonts w:hint="eastAsia" w:ascii="仿宋_GB2312" w:hAnsi="仿宋_GB2312" w:eastAsia="仿宋_GB2312" w:cs="仿宋_GB2312"/>
          <w:kern w:val="2"/>
          <w:sz w:val="32"/>
          <w:szCs w:val="32"/>
          <w:lang w:val="zh-CN" w:eastAsia="zh-CN" w:bidi="ar-SA"/>
        </w:rPr>
        <w:t>名，</w:t>
      </w:r>
      <w:r>
        <w:rPr>
          <w:rFonts w:hint="eastAsia" w:ascii="仿宋_GB2312" w:hAnsi="仿宋_GB2312" w:eastAsia="仿宋_GB2312" w:cs="仿宋_GB2312"/>
          <w:sz w:val="32"/>
          <w:szCs w:val="32"/>
        </w:rPr>
        <w:t>均进行定期走访，对每一位帮教对象都留存帮教记录，</w:t>
      </w:r>
      <w:r>
        <w:rPr>
          <w:rFonts w:hint="eastAsia" w:ascii="仿宋_GB2312" w:hAnsi="仿宋_GB2312" w:eastAsia="仿宋_GB2312" w:cs="仿宋_GB2312"/>
          <w:sz w:val="32"/>
          <w:szCs w:val="32"/>
          <w:lang w:eastAsia="zh-CN"/>
        </w:rPr>
        <w:t>定期</w:t>
      </w:r>
      <w:r>
        <w:rPr>
          <w:rFonts w:hint="eastAsia" w:ascii="仿宋_GB2312" w:hAnsi="仿宋_GB2312" w:eastAsia="仿宋_GB2312" w:cs="仿宋_GB2312"/>
          <w:sz w:val="32"/>
          <w:szCs w:val="32"/>
        </w:rPr>
        <w:t>进行跟踪了解情况，全面掌握帮教人员的工作、生活、思想动态，</w:t>
      </w:r>
      <w:r>
        <w:rPr>
          <w:rFonts w:hint="eastAsia" w:ascii="仿宋_GB2312" w:hAnsi="仿宋_GB2312" w:eastAsia="仿宋_GB2312" w:cs="仿宋_GB2312"/>
          <w:kern w:val="2"/>
          <w:sz w:val="32"/>
          <w:szCs w:val="32"/>
          <w:lang w:val="en-US" w:eastAsia="zh-CN" w:bidi="ar-SA"/>
        </w:rPr>
        <w:t>全年共接待上门来访和社区走访33人次，电话排查75人次，监狱视频会见4人次，未发生脱管、漏管、重特大刑事案件或影响社会稳定事件。</w:t>
      </w:r>
      <w:r>
        <w:rPr>
          <w:rFonts w:hint="eastAsia" w:ascii="仿宋_GB2312" w:hAnsi="仿宋_GB2312" w:eastAsia="仿宋_GB2312" w:cs="仿宋_GB2312"/>
          <w:sz w:val="32"/>
          <w:szCs w:val="32"/>
        </w:rPr>
        <w:t>在社区矫正工作方面，辖区内现有社区服刑人员</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人。坚持对每名社区服刑人员实行一人一档，形成了一套完整、规范的基础性台账和日常监管台帐。同时注意在工作中进行管理创新，在重要会议、节日等重要时间节点，要求矫正对象签订保证书，督促其自觉遵守国家的法律法规，确保地区社会秩序的和谐稳定。</w:t>
      </w:r>
    </w:p>
    <w:p>
      <w:pPr>
        <w:pStyle w:val="3"/>
        <w:keepNext w:val="0"/>
        <w:keepLines w:val="0"/>
        <w:pageBreakBefore w:val="0"/>
        <w:widowControl w:val="0"/>
        <w:kinsoku/>
        <w:wordWrap/>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强化疫情控序</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val="en-US" w:eastAsia="zh-CN"/>
        </w:rPr>
        <w:t>严格落实市区疫情常态化防控各项要求，带领社区扎实做好人员摸排管控、核酸检测和疫苗接种等工作。共处理、上报疫情防控数据约10万人次，核酸检测9.7万人，</w:t>
      </w:r>
      <w:r>
        <w:rPr>
          <w:rFonts w:hint="eastAsia" w:ascii="仿宋_GB2312" w:hAnsi="仿宋_GB2312" w:eastAsia="仿宋_GB2312" w:cs="仿宋_GB2312"/>
          <w:color w:val="auto"/>
          <w:kern w:val="2"/>
          <w:sz w:val="32"/>
          <w:szCs w:val="32"/>
          <w:lang w:val="en-US" w:eastAsia="zh-CN" w:bidi="ar-SA"/>
        </w:rPr>
        <w:t>接种疫苗9.1万剂。</w:t>
      </w:r>
      <w:r>
        <w:rPr>
          <w:rFonts w:hint="eastAsia" w:ascii="仿宋_GB2312" w:hAnsi="仿宋_GB2312" w:eastAsia="仿宋_GB2312" w:cs="仿宋_GB2312"/>
          <w:color w:val="000000"/>
          <w:sz w:val="32"/>
          <w:szCs w:val="32"/>
          <w:lang w:val="en-US" w:eastAsia="zh-CN"/>
        </w:rPr>
        <w:t>发放口罩8万只、防护服1700套、帐篷50具、电暖气50台。</w:t>
      </w:r>
      <w:r>
        <w:rPr>
          <w:rFonts w:hint="eastAsia" w:ascii="仿宋_GB2312" w:hAnsi="仿宋_GB2312" w:eastAsia="仿宋_GB2312" w:cs="仿宋_GB2312"/>
          <w:color w:val="auto"/>
          <w:sz w:val="32"/>
          <w:szCs w:val="32"/>
          <w:lang w:val="en-US" w:eastAsia="zh-CN"/>
        </w:rPr>
        <w:t>配合区疫情防控专班妥善处置庄胜大厦应急事件,制定完善</w:t>
      </w:r>
      <w:r>
        <w:rPr>
          <w:rFonts w:hint="eastAsia" w:ascii="仿宋_GB2312" w:hAnsi="仿宋_GB2312" w:eastAsia="仿宋_GB2312" w:cs="仿宋_GB2312"/>
          <w:color w:val="000000"/>
          <w:sz w:val="32"/>
          <w:szCs w:val="32"/>
          <w:lang w:eastAsia="zh-CN"/>
        </w:rPr>
        <w:t>街道社区因疫情封控方案，辖区目前仍在保持无确诊、无疑似、无密接、无无症状感染者的“四无”目标。</w:t>
      </w:r>
    </w:p>
    <w:p>
      <w:pPr>
        <w:keepNext w:val="0"/>
        <w:keepLines w:val="0"/>
        <w:pageBreakBefore w:val="0"/>
        <w:kinsoku/>
        <w:wordWrap/>
        <w:topLinePunct w:val="0"/>
        <w:autoSpaceDE/>
        <w:autoSpaceDN/>
        <w:bidi w:val="0"/>
        <w:adjustRightInd/>
        <w:snapToGrid/>
        <w:spacing w:line="560" w:lineRule="exact"/>
        <w:textAlignment w:val="auto"/>
        <w:rPr>
          <w:rFonts w:hint="eastAsia" w:ascii="黑体" w:hAnsi="黑体" w:eastAsia="黑体" w:cs="黑体"/>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w:t>
      </w:r>
      <w:r>
        <w:rPr>
          <w:rFonts w:hint="eastAsia" w:ascii="黑体" w:hAnsi="黑体" w:eastAsia="黑体" w:cs="黑体"/>
          <w:color w:val="000000"/>
          <w:kern w:val="2"/>
          <w:sz w:val="32"/>
          <w:szCs w:val="32"/>
          <w:lang w:val="en-US" w:eastAsia="zh-CN" w:bidi="ar-SA"/>
        </w:rPr>
        <w:t>二、2021年度推进法治政府建设存在的不足和原因</w:t>
      </w:r>
    </w:p>
    <w:p>
      <w:pPr>
        <w:ind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2021年度,我街道在推进法治建设工作中虽然取得了一定成效,但与区委、区政府的要求还有一定差距,主要表现在:</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楷体_GB2312" w:hAnsi="黑体" w:eastAsia="楷体_GB2312" w:cs="Times New Roman"/>
          <w:color w:val="000000"/>
          <w:kern w:val="2"/>
          <w:sz w:val="32"/>
          <w:szCs w:val="32"/>
          <w:lang w:val="en-US" w:eastAsia="zh-CN" w:bidi="ar-SA"/>
        </w:rPr>
      </w:pPr>
      <w:r>
        <w:rPr>
          <w:rFonts w:hint="eastAsia" w:ascii="楷体_GB2312" w:hAnsi="黑体" w:eastAsia="楷体_GB2312" w:cs="Times New Roman"/>
          <w:color w:val="000000"/>
          <w:kern w:val="2"/>
          <w:sz w:val="32"/>
          <w:szCs w:val="32"/>
          <w:lang w:val="en-US" w:eastAsia="zh-CN" w:bidi="ar-SA"/>
        </w:rPr>
        <w:t>（一）街道综合执法改革效能有待进一步增强</w:t>
      </w:r>
    </w:p>
    <w:p>
      <w:pPr>
        <w:ind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街道综合执法体制改革虽已完成，但人员编制、条块衔接等尚需进一步优化磨合。</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楷体_GB2312" w:hAnsi="黑体" w:eastAsia="楷体_GB2312" w:cs="Times New Roman"/>
          <w:color w:val="000000"/>
          <w:kern w:val="2"/>
          <w:sz w:val="32"/>
          <w:szCs w:val="32"/>
          <w:lang w:val="en-US" w:eastAsia="zh-CN" w:bidi="ar-SA"/>
        </w:rPr>
      </w:pPr>
      <w:r>
        <w:rPr>
          <w:rFonts w:hint="eastAsia" w:ascii="楷体_GB2312" w:hAnsi="黑体" w:eastAsia="楷体_GB2312" w:cs="Times New Roman"/>
          <w:color w:val="000000"/>
          <w:kern w:val="2"/>
          <w:sz w:val="32"/>
          <w:szCs w:val="32"/>
          <w:lang w:val="en-US" w:eastAsia="zh-CN" w:bidi="ar-SA"/>
        </w:rPr>
        <w:t>（二）执法人员执法素质还需进一步提高</w:t>
      </w:r>
    </w:p>
    <w:p>
      <w:pPr>
        <w:spacing w:line="520" w:lineRule="exact"/>
        <w:ind w:right="-340" w:rightChars="-162" w:firstLine="640" w:firstLineChars="200"/>
        <w:rPr>
          <w:rFonts w:ascii="仿宋_GB2312" w:eastAsia="仿宋_GB2312"/>
          <w:color w:val="000000"/>
          <w:sz w:val="32"/>
          <w:szCs w:val="32"/>
        </w:rPr>
      </w:pPr>
      <w:r>
        <w:rPr>
          <w:rFonts w:hint="eastAsia" w:ascii="仿宋_GB2312" w:hAnsi="仿宋_GB2312" w:eastAsia="仿宋_GB2312" w:cs="仿宋_GB2312"/>
          <w:sz w:val="32"/>
          <w:szCs w:val="32"/>
        </w:rPr>
        <w:t>执法人员依法行政的观念、能力与水平有待进一步提升,法治培训针对性和实效性还需加强，执法人员运用法治思维、法治手段解决经济社会发展中不断出现的复杂疑难问题的能力有待提升。</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楷体_GB2312" w:hAnsi="黑体" w:eastAsia="楷体_GB2312" w:cs="Times New Roman"/>
          <w:color w:val="000000"/>
          <w:kern w:val="2"/>
          <w:sz w:val="32"/>
          <w:szCs w:val="32"/>
          <w:lang w:val="en-US" w:eastAsia="zh-CN" w:bidi="ar-SA"/>
        </w:rPr>
      </w:pPr>
      <w:r>
        <w:rPr>
          <w:rFonts w:hint="eastAsia" w:ascii="楷体_GB2312" w:hAnsi="黑体" w:eastAsia="楷体_GB2312" w:cs="Times New Roman"/>
          <w:color w:val="000000"/>
          <w:kern w:val="2"/>
          <w:sz w:val="32"/>
          <w:szCs w:val="32"/>
          <w:lang w:val="en-US" w:eastAsia="zh-CN" w:bidi="ar-SA"/>
        </w:rPr>
        <w:t>（三）法治文化活动有待进一步创新</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left"/>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受疫情影响，法治文化活动开展略显不足，法治文化建设有待进一步加强，需加大法治文化载体，法治文化形式的创新。</w:t>
      </w:r>
    </w:p>
    <w:p>
      <w:pPr>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三、党政主要负责人履行推进法治建设第一责任人职责</w:t>
      </w:r>
      <w:r>
        <w:rPr>
          <w:rFonts w:hint="eastAsia" w:ascii="黑体" w:hAnsi="黑体" w:eastAsia="黑体" w:cs="黑体"/>
          <w:sz w:val="32"/>
          <w:szCs w:val="32"/>
          <w:lang w:eastAsia="zh-CN"/>
        </w:rPr>
        <w:t>、</w:t>
      </w:r>
      <w:r>
        <w:rPr>
          <w:rFonts w:hint="eastAsia" w:ascii="黑体" w:hAnsi="黑体" w:eastAsia="黑体" w:cs="黑体"/>
          <w:sz w:val="32"/>
          <w:szCs w:val="32"/>
        </w:rPr>
        <w:t>加强法治政府建设的有关情况</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街道党工委、办事处主要负责人,</w:t>
      </w:r>
      <w:r>
        <w:rPr>
          <w:rFonts w:hint="eastAsia" w:ascii="仿宋_GB2312" w:hAnsi="仿宋_GB2312" w:eastAsia="仿宋_GB2312" w:cs="仿宋_GB2312"/>
          <w:sz w:val="32"/>
          <w:szCs w:val="32"/>
          <w:lang w:val="en-US" w:eastAsia="zh-CN"/>
        </w:rPr>
        <w:t>认真落实《党政主要负责人履行推进法治建设第一责任人职责规定》，在推进法治政府建设中积极履职，以上率下，有效推动各项责任落实、工作落地。</w:t>
      </w:r>
    </w:p>
    <w:p>
      <w:pPr>
        <w:ind w:firstLine="640" w:firstLineChars="200"/>
        <w:rPr>
          <w:rFonts w:hint="eastAsia" w:ascii="仿宋_GB2312" w:hAnsi="仿宋_GB2312" w:eastAsia="仿宋_GB2312" w:cs="仿宋_GB2312"/>
          <w:sz w:val="32"/>
          <w:szCs w:val="32"/>
          <w:lang w:val="en-US" w:eastAsia="zh-CN"/>
        </w:rPr>
      </w:pPr>
      <w:r>
        <w:rPr>
          <w:rFonts w:hint="eastAsia" w:ascii="楷体_GB2312" w:hAnsi="黑体" w:eastAsia="楷体_GB2312" w:cs="Times New Roman"/>
          <w:color w:val="000000"/>
          <w:kern w:val="2"/>
          <w:sz w:val="32"/>
          <w:szCs w:val="32"/>
          <w:lang w:val="en-US" w:eastAsia="zh-CN" w:bidi="ar-SA"/>
        </w:rPr>
        <w:t>一是加强组织领导，切实发挥街道党(工)委在推进街道法治建设中的领导核心作用。</w:t>
      </w:r>
      <w:r>
        <w:rPr>
          <w:rFonts w:hint="eastAsia" w:ascii="仿宋_GB2312" w:hAnsi="仿宋_GB2312" w:eastAsia="仿宋_GB2312" w:cs="仿宋_GB2312"/>
          <w:sz w:val="32"/>
          <w:szCs w:val="32"/>
          <w:lang w:val="en-US" w:eastAsia="zh-CN"/>
        </w:rPr>
        <w:t>街道主要负责人高度重视法治建设工作，把法治建设纳入了街道发展总体规划和年度工作计划,始终将推进法治建设与街道中心工作同研究、同部署。</w:t>
      </w:r>
      <w:r>
        <w:rPr>
          <w:rFonts w:hint="eastAsia" w:ascii="仿宋_GB2312" w:hAnsi="仿宋_GB2312" w:eastAsia="仿宋_GB2312" w:cs="仿宋_GB2312"/>
          <w:sz w:val="32"/>
          <w:szCs w:val="32"/>
        </w:rPr>
        <w:t>积极贯彻落实上级有关法治建设的工作部署和要求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加强对党员干部的教育管理，不断强化全体干部依法行政意识，真正把推进法治建设第一责任人所列职责履行好、落实好,切实把街道各项工作纳入法治化轨道。</w:t>
      </w:r>
    </w:p>
    <w:p>
      <w:pPr>
        <w:ind w:firstLine="640" w:firstLineChars="200"/>
        <w:rPr>
          <w:rFonts w:hint="eastAsia" w:ascii="仿宋_GB2312" w:hAnsi="仿宋_GB2312" w:eastAsia="仿宋_GB2312" w:cs="仿宋_GB2312"/>
          <w:sz w:val="32"/>
          <w:szCs w:val="32"/>
          <w:lang w:val="en-US" w:eastAsia="zh-CN"/>
        </w:rPr>
      </w:pPr>
      <w:r>
        <w:rPr>
          <w:rFonts w:hint="eastAsia" w:ascii="楷体_GB2312" w:hAnsi="黑体" w:eastAsia="楷体_GB2312" w:cs="Times New Roman"/>
          <w:color w:val="000000"/>
          <w:kern w:val="2"/>
          <w:sz w:val="32"/>
          <w:szCs w:val="32"/>
          <w:lang w:val="en-US" w:eastAsia="zh-CN" w:bidi="ar-SA"/>
        </w:rPr>
        <w:t>二是带头学法，模范用法，落实法治工作责任。</w:t>
      </w:r>
      <w:r>
        <w:rPr>
          <w:rFonts w:hint="eastAsia" w:ascii="仿宋_GB2312" w:hAnsi="仿宋_GB2312" w:eastAsia="仿宋_GB2312" w:cs="仿宋_GB2312"/>
          <w:sz w:val="32"/>
          <w:szCs w:val="32"/>
          <w:lang w:val="en-US" w:eastAsia="zh-CN"/>
        </w:rPr>
        <w:t>2021年以来，街道党政主要负责人严格落实中央、市、区关于推进法治建设的有关要求，</w:t>
      </w:r>
      <w:r>
        <w:rPr>
          <w:rFonts w:hint="eastAsia" w:ascii="仿宋_GB2312" w:hAnsi="仿宋_GB2312" w:eastAsia="仿宋_GB2312" w:cs="仿宋_GB2312"/>
          <w:sz w:val="32"/>
          <w:szCs w:val="32"/>
        </w:rPr>
        <w:t>始终坚持用习近平新时代中国特色社会主义思想统领法治建设工作。</w:t>
      </w:r>
      <w:r>
        <w:rPr>
          <w:rFonts w:hint="eastAsia" w:ascii="仿宋_GB2312" w:hAnsi="仿宋_GB2312" w:eastAsia="仿宋_GB2312" w:cs="仿宋_GB2312"/>
          <w:sz w:val="32"/>
          <w:szCs w:val="32"/>
          <w:lang w:val="en-US" w:eastAsia="zh-CN"/>
        </w:rPr>
        <w:t>街道主要负责人坚持以上率下，带头尊法学法守法用法，狠抓会前学法工作，切实提高了广大领导干部依法行政工作能力和法治化工作水平；严格履行法治建设第一责任人的职责，充分发挥党委统揽全局、协调各方的作用,督促领导班子其他成员和科室及社区主要负责人依法办事，全体机关党员干部法治观念显著提升。</w:t>
      </w:r>
    </w:p>
    <w:p>
      <w:pPr>
        <w:ind w:firstLine="640" w:firstLineChars="200"/>
        <w:rPr>
          <w:rFonts w:hint="eastAsia" w:ascii="仿宋_GB2312" w:hAnsi="仿宋_GB2312" w:eastAsia="仿宋_GB2312" w:cs="仿宋_GB2312"/>
          <w:sz w:val="32"/>
          <w:szCs w:val="32"/>
          <w:lang w:val="en-US" w:eastAsia="zh-CN"/>
        </w:rPr>
      </w:pPr>
      <w:r>
        <w:rPr>
          <w:rFonts w:hint="eastAsia" w:ascii="楷体_GB2312" w:hAnsi="黑体" w:eastAsia="楷体_GB2312" w:cs="Times New Roman"/>
          <w:color w:val="000000"/>
          <w:kern w:val="2"/>
          <w:sz w:val="32"/>
          <w:szCs w:val="32"/>
          <w:lang w:val="en-US" w:eastAsia="zh-CN" w:bidi="ar-SA"/>
        </w:rPr>
        <w:t>三是党建引领，持续推进全面从严治党纵深发展。</w:t>
      </w:r>
      <w:r>
        <w:rPr>
          <w:rFonts w:hint="eastAsia" w:ascii="仿宋_GB2312" w:hAnsi="仿宋_GB2312" w:eastAsia="仿宋_GB2312" w:cs="仿宋_GB2312"/>
          <w:sz w:val="32"/>
          <w:szCs w:val="32"/>
          <w:lang w:val="en-US" w:eastAsia="zh-CN"/>
        </w:rPr>
        <w:t>2021年，街道以党建为引领高位统筹，系统谋划，全面推动从严治党。主要领导严格落实全面从严治党主体责任和党风廉政建设责任制，组织街道、社区领导班子及成员和机关科长，普遍签订个性化责任书、责任清单，构建全面从严治党严密责任体系。从重点时节提醒检查、警示教育、学习典型案例等方面入手，全面加强作风建设。</w:t>
      </w:r>
      <w:r>
        <w:rPr>
          <w:rFonts w:hint="eastAsia" w:ascii="仿宋_GB2312" w:hAnsi="仿宋_GB2312" w:eastAsia="仿宋_GB2312" w:cs="仿宋_GB2312"/>
          <w:sz w:val="32"/>
          <w:szCs w:val="32"/>
        </w:rPr>
        <w:t>街道联合检查组对</w:t>
      </w:r>
      <w:r>
        <w:rPr>
          <w:rFonts w:hint="eastAsia" w:ascii="仿宋_GB2312" w:hAnsi="仿宋_GB2312" w:eastAsia="仿宋_GB2312" w:cs="仿宋_GB2312"/>
          <w:sz w:val="32"/>
          <w:szCs w:val="32"/>
          <w:lang w:eastAsia="zh-CN"/>
        </w:rPr>
        <w:t>各部门</w:t>
      </w:r>
      <w:r>
        <w:rPr>
          <w:rFonts w:hint="eastAsia" w:ascii="仿宋_GB2312" w:hAnsi="仿宋_GB2312" w:eastAsia="仿宋_GB2312" w:cs="仿宋_GB2312"/>
          <w:sz w:val="32"/>
          <w:szCs w:val="32"/>
        </w:rPr>
        <w:t>、服务窗口以及社区检查1100余次，</w:t>
      </w:r>
      <w:r>
        <w:rPr>
          <w:rFonts w:hint="eastAsia" w:ascii="仿宋_GB2312" w:hAnsi="仿宋_GB2312" w:eastAsia="仿宋_GB2312" w:cs="仿宋_GB2312"/>
          <w:sz w:val="32"/>
          <w:szCs w:val="32"/>
          <w:lang w:val="en-US" w:eastAsia="zh-CN"/>
        </w:rPr>
        <w:t>对发现问题及时通报、限期整改，压紧压实主体责任，街道政治生态风清气正。严格落实意识形态责任制，强化会商研判，加强意识形态阵地、宣传载体管理，意识形态领域安全有序。</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四、下一年度推进法治政府建设的主要安排</w:t>
      </w:r>
    </w:p>
    <w:p>
      <w:pPr>
        <w:ind w:firstLine="640" w:firstLineChars="200"/>
        <w:rPr>
          <w:rFonts w:hint="eastAsia" w:ascii="仿宋_GB2312" w:hAnsi="仿宋_GB2312" w:eastAsia="仿宋_GB2312" w:cs="仿宋_GB2312"/>
          <w:sz w:val="32"/>
          <w:szCs w:val="32"/>
          <w:lang w:eastAsia="zh-CN"/>
        </w:rPr>
      </w:pPr>
      <w:r>
        <w:rPr>
          <w:rFonts w:hint="eastAsia" w:ascii="楷体_GB2312" w:hAnsi="黑体" w:eastAsia="楷体_GB2312" w:cs="Times New Roman"/>
          <w:color w:val="000000"/>
          <w:kern w:val="2"/>
          <w:sz w:val="32"/>
          <w:szCs w:val="32"/>
          <w:lang w:val="en-US" w:eastAsia="zh-CN" w:bidi="ar-SA"/>
        </w:rPr>
        <w:t>（一）在科学民主决策上下功夫。</w:t>
      </w:r>
      <w:r>
        <w:rPr>
          <w:rFonts w:hint="eastAsia" w:ascii="仿宋_GB2312" w:hAnsi="仿宋_GB2312" w:eastAsia="仿宋_GB2312" w:cs="仿宋_GB2312"/>
          <w:sz w:val="32"/>
          <w:szCs w:val="32"/>
        </w:rPr>
        <w:t>严格按照法律规定行使权力，按照议事规则研究决策，做到“法无授权不可为、法定职责必须为”，确保行政权力在阳光下运行。</w:t>
      </w:r>
      <w:r>
        <w:rPr>
          <w:rFonts w:hint="eastAsia" w:ascii="楷体_GB2312" w:hAnsi="黑体" w:eastAsia="楷体_GB2312" w:cs="Times New Roman"/>
          <w:color w:val="000000"/>
          <w:kern w:val="2"/>
          <w:sz w:val="32"/>
          <w:szCs w:val="32"/>
          <w:lang w:val="en-US" w:eastAsia="zh-CN" w:bidi="ar-SA"/>
        </w:rPr>
        <w:t>（二）在行政执法监督上下功夫。</w:t>
      </w:r>
      <w:r>
        <w:rPr>
          <w:rFonts w:hint="eastAsia" w:ascii="仿宋_GB2312" w:hAnsi="仿宋_GB2312" w:eastAsia="仿宋_GB2312" w:cs="仿宋_GB2312"/>
          <w:sz w:val="32"/>
          <w:szCs w:val="32"/>
        </w:rPr>
        <w:t>进一步落实行政执法三项制度,规范行政执法过程及记录归档,加强对行政执法队的监督与指导,规范行政执法案卷的记录和归档,提高适用法条的准确性,提升案件办结率。进一步严格执行法制审核制度，切实把牢“法制关口”。</w:t>
      </w:r>
      <w:r>
        <w:rPr>
          <w:rFonts w:hint="eastAsia" w:ascii="楷体_GB2312" w:hAnsi="黑体" w:eastAsia="楷体_GB2312" w:cs="Times New Roman"/>
          <w:color w:val="000000"/>
          <w:kern w:val="2"/>
          <w:sz w:val="32"/>
          <w:szCs w:val="32"/>
          <w:lang w:val="en-US" w:eastAsia="zh-CN" w:bidi="ar-SA"/>
        </w:rPr>
        <w:t>（三）在构建“大调解”机制上下功夫。</w:t>
      </w:r>
      <w:r>
        <w:rPr>
          <w:rFonts w:hint="eastAsia" w:ascii="仿宋_GB2312" w:hAnsi="仿宋_GB2312" w:eastAsia="仿宋_GB2312" w:cs="仿宋_GB2312"/>
          <w:sz w:val="32"/>
          <w:szCs w:val="32"/>
        </w:rPr>
        <w:t>强化党建引领，充分发挥法治联盟的作用，以公共法律服务体系建设为抓手，深化横向联合调解，</w:t>
      </w:r>
      <w:r>
        <w:rPr>
          <w:rFonts w:hint="eastAsia" w:ascii="仿宋_GB2312" w:hAnsi="仿宋_GB2312" w:eastAsia="仿宋_GB2312" w:cs="仿宋_GB2312"/>
          <w:sz w:val="32"/>
          <w:szCs w:val="32"/>
          <w:lang w:eastAsia="zh-CN"/>
        </w:rPr>
        <w:t>统筹</w:t>
      </w:r>
      <w:r>
        <w:rPr>
          <w:rFonts w:hint="eastAsia" w:ascii="仿宋_GB2312" w:hAnsi="仿宋_GB2312" w:eastAsia="仿宋_GB2312" w:cs="仿宋_GB2312"/>
          <w:sz w:val="32"/>
          <w:szCs w:val="32"/>
        </w:rPr>
        <w:t>司法、公安、信访、等多部门建立多元化纠纷解决机制，探索从源头上及时高效化解各类矛盾纠纷。</w:t>
      </w:r>
      <w:r>
        <w:rPr>
          <w:rFonts w:hint="eastAsia" w:ascii="楷体_GB2312" w:hAnsi="黑体" w:eastAsia="楷体_GB2312" w:cs="Times New Roman"/>
          <w:color w:val="000000"/>
          <w:kern w:val="2"/>
          <w:sz w:val="32"/>
          <w:szCs w:val="32"/>
          <w:lang w:val="en-US" w:eastAsia="zh-CN" w:bidi="ar-SA"/>
        </w:rPr>
        <w:t>（四）在树牢法治观念上下功夫。</w:t>
      </w:r>
      <w:r>
        <w:rPr>
          <w:rFonts w:hint="eastAsia" w:ascii="仿宋_GB2312" w:hAnsi="仿宋_GB2312" w:eastAsia="仿宋_GB2312" w:cs="仿宋_GB2312"/>
          <w:sz w:val="32"/>
          <w:szCs w:val="32"/>
        </w:rPr>
        <w:t>通过示范创建提升普法宣传的多样性，将普法宣传教育渗透到执法全过程，利用以案说法、以案普法、以案学法等方式普及法律常识，以文明执法力促深度普法，以广泛普法力促文明执法，做到文明执法与广泛普法实施推进同步、效果提升同步</w:t>
      </w:r>
      <w:r>
        <w:rPr>
          <w:rFonts w:hint="eastAsia" w:ascii="仿宋_GB2312" w:hAnsi="仿宋_GB2312" w:eastAsia="仿宋_GB2312" w:cs="仿宋_GB2312"/>
          <w:sz w:val="32"/>
          <w:szCs w:val="32"/>
          <w:lang w:eastAsia="zh-CN"/>
        </w:rPr>
        <w:t>。</w:t>
      </w:r>
    </w:p>
    <w:p>
      <w:pPr>
        <w:keepNext w:val="0"/>
        <w:keepLines w:val="0"/>
        <w:pageBreakBefore w:val="0"/>
        <w:numPr>
          <w:ilvl w:val="0"/>
          <w:numId w:val="0"/>
        </w:numPr>
        <w:kinsoku/>
        <w:wordWrap/>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五、其他需要报告的情况</w:t>
      </w:r>
    </w:p>
    <w:p>
      <w:pPr>
        <w:pStyle w:val="3"/>
        <w:keepNext w:val="0"/>
        <w:keepLines w:val="0"/>
        <w:pageBreakBefore w:val="0"/>
        <w:numPr>
          <w:ilvl w:val="0"/>
          <w:numId w:val="0"/>
        </w:numPr>
        <w:kinsoku/>
        <w:wordWrap/>
        <w:topLinePunct w:val="0"/>
        <w:autoSpaceDE/>
        <w:autoSpaceDN/>
        <w:bidi w:val="0"/>
        <w:adjustRightInd/>
        <w:snapToGrid/>
        <w:spacing w:line="560" w:lineRule="exact"/>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eastAsia="仿宋_GB2312" w:cs="仿宋_GB2312"/>
          <w:sz w:val="32"/>
          <w:szCs w:val="32"/>
          <w:lang w:val="en-US" w:eastAsia="zh-CN"/>
        </w:rPr>
        <w:t>无</w:t>
      </w:r>
      <w:r>
        <w:rPr>
          <w:rFonts w:hint="eastAsia" w:ascii="仿宋_GB2312" w:hAnsi="仿宋_GB2312" w:cs="仿宋_GB2312"/>
          <w:sz w:val="32"/>
          <w:szCs w:val="32"/>
          <w:lang w:val="en-US" w:eastAsia="zh-CN"/>
        </w:rPr>
        <w:t>。</w:t>
      </w:r>
    </w:p>
    <w:p>
      <w:pPr>
        <w:pStyle w:val="3"/>
        <w:keepNext w:val="0"/>
        <w:keepLines w:val="0"/>
        <w:pageBreakBefore w:val="0"/>
        <w:numPr>
          <w:ilvl w:val="0"/>
          <w:numId w:val="0"/>
        </w:numPr>
        <w:kinsoku/>
        <w:wordWrap/>
        <w:topLinePunct w:val="0"/>
        <w:autoSpaceDE/>
        <w:autoSpaceDN/>
        <w:bidi w:val="0"/>
        <w:adjustRightInd/>
        <w:snapToGrid/>
        <w:spacing w:line="560" w:lineRule="exact"/>
        <w:ind w:firstLine="640" w:firstLineChars="200"/>
        <w:textAlignment w:val="auto"/>
        <w:rPr>
          <w:rFonts w:hint="eastAsia" w:ascii="仿宋_GB2312" w:hAnsi="仿宋_GB2312" w:cs="仿宋_GB2312"/>
          <w:sz w:val="32"/>
          <w:szCs w:val="32"/>
          <w:lang w:val="en-US" w:eastAsia="zh-CN"/>
        </w:rPr>
      </w:pPr>
    </w:p>
    <w:p>
      <w:pPr>
        <w:pStyle w:val="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2" w:lineRule="atLeast"/>
        <w:ind w:left="420" w:leftChars="0" w:right="0" w:rightChars="0"/>
        <w:jc w:val="left"/>
        <w:rPr>
          <w:rFonts w:hint="eastAsia" w:ascii="楷体_GB2312" w:hAnsi="黑体" w:eastAsia="楷体_GB2312" w:cs="Times New Roman"/>
          <w:color w:val="000000"/>
          <w:kern w:val="2"/>
          <w:sz w:val="32"/>
          <w:szCs w:val="32"/>
          <w:lang w:val="en-US" w:eastAsia="zh-CN" w:bidi="ar-SA"/>
        </w:rPr>
      </w:pPr>
    </w:p>
    <w:p>
      <w:pPr>
        <w:pStyle w:val="18"/>
        <w:keepNext w:val="0"/>
        <w:keepLines w:val="0"/>
        <w:pageBreakBefore w:val="0"/>
        <w:widowControl/>
        <w:numPr>
          <w:ilvl w:val="0"/>
          <w:numId w:val="0"/>
        </w:numPr>
        <w:kinsoku/>
        <w:wordWrap/>
        <w:overflowPunct/>
        <w:topLinePunct w:val="0"/>
        <w:autoSpaceDE/>
        <w:autoSpaceDN/>
        <w:bidi w:val="0"/>
        <w:adjustRightInd/>
        <w:snapToGrid/>
        <w:spacing w:before="136" w:line="560" w:lineRule="exact"/>
        <w:ind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特此报告。</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ˎ̥" w:eastAsia="仿宋_GB2312" w:cs="宋体"/>
          <w:sz w:val="32"/>
          <w:szCs w:val="32"/>
        </w:rPr>
      </w:pPr>
    </w:p>
    <w:p>
      <w:pPr>
        <w:pStyle w:val="2"/>
        <w:rPr>
          <w:rFonts w:hint="eastAsia" w:ascii="仿宋_GB2312" w:hAnsi="ˎ̥" w:eastAsia="仿宋_GB2312" w:cs="宋体"/>
          <w:sz w:val="32"/>
          <w:szCs w:val="32"/>
        </w:rPr>
      </w:pPr>
    </w:p>
    <w:p>
      <w:pPr>
        <w:rPr>
          <w:rFonts w:hint="eastAsia"/>
        </w:rPr>
      </w:pPr>
    </w:p>
    <w:p>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仿宋_GB2312" w:hAnsi="ˎ̥" w:eastAsia="仿宋_GB2312" w:cs="宋体"/>
          <w:sz w:val="32"/>
          <w:szCs w:val="32"/>
          <w:lang w:eastAsia="zh-CN"/>
        </w:rPr>
      </w:pPr>
      <w:r>
        <w:rPr>
          <w:rFonts w:hint="eastAsia" w:ascii="仿宋_GB2312" w:hAnsi="ˎ̥" w:eastAsia="仿宋_GB2312" w:cs="宋体"/>
          <w:sz w:val="32"/>
          <w:szCs w:val="32"/>
          <w:lang w:eastAsia="zh-CN"/>
        </w:rPr>
        <w:t>北京市西城区人民政府椿树街道办事处</w:t>
      </w:r>
    </w:p>
    <w:p>
      <w:pPr>
        <w:keepNext w:val="0"/>
        <w:keepLines w:val="0"/>
        <w:pageBreakBefore w:val="0"/>
        <w:kinsoku/>
        <w:wordWrap w:val="0"/>
        <w:overflowPunct/>
        <w:topLinePunct w:val="0"/>
        <w:autoSpaceDE/>
        <w:autoSpaceDN/>
        <w:bidi w:val="0"/>
        <w:adjustRightInd/>
        <w:snapToGrid/>
        <w:spacing w:line="560" w:lineRule="exact"/>
        <w:jc w:val="right"/>
        <w:textAlignment w:val="auto"/>
        <w:rPr>
          <w:rFonts w:hint="default" w:ascii="仿宋_GB2312" w:hAnsi="ˎ̥" w:eastAsia="仿宋_GB2312" w:cs="宋体"/>
          <w:sz w:val="32"/>
          <w:szCs w:val="32"/>
          <w:lang w:val="en-US" w:eastAsia="zh-CN"/>
        </w:rPr>
      </w:pPr>
      <w:r>
        <w:rPr>
          <w:rFonts w:hint="eastAsia" w:ascii="仿宋_GB2312" w:hAnsi="ˎ̥" w:eastAsia="仿宋_GB2312" w:cs="宋体"/>
          <w:sz w:val="32"/>
          <w:szCs w:val="32"/>
          <w:lang w:val="en-US" w:eastAsia="zh-CN"/>
        </w:rPr>
        <w:t xml:space="preserve">2021年12月15日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sz w:val="32"/>
          <w:szCs w:val="32"/>
          <w:lang w:val="en-GB"/>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sz w:val="32"/>
          <w:szCs w:val="32"/>
          <w:u w:val="none"/>
          <w:lang w:val="en-GB"/>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sz w:val="32"/>
          <w:szCs w:val="32"/>
          <w:u w:val="none"/>
          <w:lang w:val="en-GB"/>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sz w:val="32"/>
          <w:szCs w:val="32"/>
          <w:u w:val="none"/>
          <w:lang w:val="en-GB"/>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sz w:val="32"/>
          <w:szCs w:val="32"/>
          <w:u w:val="none"/>
          <w:lang w:val="en-GB"/>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sz w:val="32"/>
          <w:szCs w:val="32"/>
          <w:u w:val="none"/>
          <w:lang w:val="en-GB"/>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sz w:val="32"/>
          <w:szCs w:val="32"/>
          <w:u w:val="none"/>
          <w:lang w:val="en-GB"/>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sz w:val="32"/>
          <w:szCs w:val="32"/>
          <w:u w:val="none"/>
          <w:lang w:val="en-US" w:eastAsia="zh-CN"/>
        </w:rPr>
      </w:pPr>
      <w:bookmarkStart w:id="0" w:name="_GoBack"/>
      <w:bookmarkEnd w:id="0"/>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210" w:rightChars="100"/>
      <w:rPr>
        <w:rFonts w:hint="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inside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ED1AE2"/>
    <w:multiLevelType w:val="singleLevel"/>
    <w:tmpl w:val="A0ED1AE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828"/>
    <w:rsid w:val="00003947"/>
    <w:rsid w:val="00010403"/>
    <w:rsid w:val="0001117E"/>
    <w:rsid w:val="00016C80"/>
    <w:rsid w:val="0002606A"/>
    <w:rsid w:val="00032C9F"/>
    <w:rsid w:val="00037650"/>
    <w:rsid w:val="000406EF"/>
    <w:rsid w:val="000413CF"/>
    <w:rsid w:val="0004780E"/>
    <w:rsid w:val="000478A8"/>
    <w:rsid w:val="00053528"/>
    <w:rsid w:val="00055E3A"/>
    <w:rsid w:val="000614A6"/>
    <w:rsid w:val="0006300F"/>
    <w:rsid w:val="000663C3"/>
    <w:rsid w:val="000678E6"/>
    <w:rsid w:val="00073216"/>
    <w:rsid w:val="0007321D"/>
    <w:rsid w:val="00073C09"/>
    <w:rsid w:val="00092BB8"/>
    <w:rsid w:val="000A237A"/>
    <w:rsid w:val="000A4398"/>
    <w:rsid w:val="000B5156"/>
    <w:rsid w:val="000B6B15"/>
    <w:rsid w:val="000C0195"/>
    <w:rsid w:val="000C289D"/>
    <w:rsid w:val="000C4E54"/>
    <w:rsid w:val="000D0D44"/>
    <w:rsid w:val="000D134C"/>
    <w:rsid w:val="000D203F"/>
    <w:rsid w:val="000D377C"/>
    <w:rsid w:val="000D6E3A"/>
    <w:rsid w:val="000D7BBF"/>
    <w:rsid w:val="000E1C11"/>
    <w:rsid w:val="000E769E"/>
    <w:rsid w:val="000E7AF0"/>
    <w:rsid w:val="000F3CA9"/>
    <w:rsid w:val="001008CD"/>
    <w:rsid w:val="0010226A"/>
    <w:rsid w:val="00102523"/>
    <w:rsid w:val="00104DF3"/>
    <w:rsid w:val="001064F8"/>
    <w:rsid w:val="00107868"/>
    <w:rsid w:val="00116730"/>
    <w:rsid w:val="00120914"/>
    <w:rsid w:val="001335BB"/>
    <w:rsid w:val="00136065"/>
    <w:rsid w:val="001366E7"/>
    <w:rsid w:val="001404CE"/>
    <w:rsid w:val="00141081"/>
    <w:rsid w:val="00142450"/>
    <w:rsid w:val="00142DDF"/>
    <w:rsid w:val="00152A65"/>
    <w:rsid w:val="00153CEA"/>
    <w:rsid w:val="00161D44"/>
    <w:rsid w:val="00163DAF"/>
    <w:rsid w:val="00166F4A"/>
    <w:rsid w:val="001677B8"/>
    <w:rsid w:val="00172ABE"/>
    <w:rsid w:val="001762E4"/>
    <w:rsid w:val="00176327"/>
    <w:rsid w:val="00190D53"/>
    <w:rsid w:val="0019697E"/>
    <w:rsid w:val="001A1B0F"/>
    <w:rsid w:val="001A2867"/>
    <w:rsid w:val="001A392B"/>
    <w:rsid w:val="001A6878"/>
    <w:rsid w:val="001A6E76"/>
    <w:rsid w:val="001B4E30"/>
    <w:rsid w:val="001B6D0F"/>
    <w:rsid w:val="001C1C69"/>
    <w:rsid w:val="001C6BB5"/>
    <w:rsid w:val="001D0721"/>
    <w:rsid w:val="001D33A4"/>
    <w:rsid w:val="001D56A1"/>
    <w:rsid w:val="001E17CB"/>
    <w:rsid w:val="001E3088"/>
    <w:rsid w:val="001E4C23"/>
    <w:rsid w:val="001E5574"/>
    <w:rsid w:val="001F0195"/>
    <w:rsid w:val="00201979"/>
    <w:rsid w:val="00203663"/>
    <w:rsid w:val="00204A51"/>
    <w:rsid w:val="00206CA3"/>
    <w:rsid w:val="00206D09"/>
    <w:rsid w:val="00207483"/>
    <w:rsid w:val="00210870"/>
    <w:rsid w:val="0021233C"/>
    <w:rsid w:val="00212480"/>
    <w:rsid w:val="00215FE1"/>
    <w:rsid w:val="00220529"/>
    <w:rsid w:val="00236679"/>
    <w:rsid w:val="0023697D"/>
    <w:rsid w:val="00237CBB"/>
    <w:rsid w:val="00241B45"/>
    <w:rsid w:val="00247BA4"/>
    <w:rsid w:val="00250044"/>
    <w:rsid w:val="00250678"/>
    <w:rsid w:val="00252CAC"/>
    <w:rsid w:val="0025740C"/>
    <w:rsid w:val="002678A8"/>
    <w:rsid w:val="002701DE"/>
    <w:rsid w:val="00292C4D"/>
    <w:rsid w:val="002A4E03"/>
    <w:rsid w:val="002A75CD"/>
    <w:rsid w:val="002B039F"/>
    <w:rsid w:val="002B3EF3"/>
    <w:rsid w:val="002B5F92"/>
    <w:rsid w:val="002C5CEC"/>
    <w:rsid w:val="002C646D"/>
    <w:rsid w:val="002D4ECF"/>
    <w:rsid w:val="002D5F48"/>
    <w:rsid w:val="002D7587"/>
    <w:rsid w:val="002E5815"/>
    <w:rsid w:val="002F0F6B"/>
    <w:rsid w:val="002F1F3C"/>
    <w:rsid w:val="002F4916"/>
    <w:rsid w:val="00301043"/>
    <w:rsid w:val="003017D0"/>
    <w:rsid w:val="003069BE"/>
    <w:rsid w:val="0031142C"/>
    <w:rsid w:val="003126F3"/>
    <w:rsid w:val="00315001"/>
    <w:rsid w:val="00317A5F"/>
    <w:rsid w:val="00323C19"/>
    <w:rsid w:val="00324D70"/>
    <w:rsid w:val="00337FF7"/>
    <w:rsid w:val="0034200A"/>
    <w:rsid w:val="0034318C"/>
    <w:rsid w:val="003467BA"/>
    <w:rsid w:val="00352ABF"/>
    <w:rsid w:val="003551CD"/>
    <w:rsid w:val="00362999"/>
    <w:rsid w:val="00367A66"/>
    <w:rsid w:val="00371F9F"/>
    <w:rsid w:val="00377164"/>
    <w:rsid w:val="00384D67"/>
    <w:rsid w:val="00386C28"/>
    <w:rsid w:val="0039090F"/>
    <w:rsid w:val="00393D20"/>
    <w:rsid w:val="0039581F"/>
    <w:rsid w:val="00395BE8"/>
    <w:rsid w:val="00395FF2"/>
    <w:rsid w:val="00397B94"/>
    <w:rsid w:val="003B188D"/>
    <w:rsid w:val="003B1CC9"/>
    <w:rsid w:val="003B3F58"/>
    <w:rsid w:val="003C3D07"/>
    <w:rsid w:val="003C53B4"/>
    <w:rsid w:val="003D2C8F"/>
    <w:rsid w:val="003D3120"/>
    <w:rsid w:val="003D5F1F"/>
    <w:rsid w:val="003E28A5"/>
    <w:rsid w:val="003E6C12"/>
    <w:rsid w:val="003F01F7"/>
    <w:rsid w:val="003F1014"/>
    <w:rsid w:val="003F25D5"/>
    <w:rsid w:val="003F66AA"/>
    <w:rsid w:val="00400F27"/>
    <w:rsid w:val="004039C8"/>
    <w:rsid w:val="00423B6F"/>
    <w:rsid w:val="00437FDA"/>
    <w:rsid w:val="004427BA"/>
    <w:rsid w:val="00447ED3"/>
    <w:rsid w:val="00451DD6"/>
    <w:rsid w:val="00455A70"/>
    <w:rsid w:val="00457632"/>
    <w:rsid w:val="00457CD8"/>
    <w:rsid w:val="00461399"/>
    <w:rsid w:val="00463787"/>
    <w:rsid w:val="00464D10"/>
    <w:rsid w:val="004669DB"/>
    <w:rsid w:val="0046702C"/>
    <w:rsid w:val="00473890"/>
    <w:rsid w:val="00477501"/>
    <w:rsid w:val="00477745"/>
    <w:rsid w:val="00481C4D"/>
    <w:rsid w:val="00483895"/>
    <w:rsid w:val="00487FBF"/>
    <w:rsid w:val="00494D3B"/>
    <w:rsid w:val="004A1B05"/>
    <w:rsid w:val="004A1F04"/>
    <w:rsid w:val="004B07EE"/>
    <w:rsid w:val="004B40C4"/>
    <w:rsid w:val="004C308D"/>
    <w:rsid w:val="004C5D58"/>
    <w:rsid w:val="004D08EF"/>
    <w:rsid w:val="004D2E85"/>
    <w:rsid w:val="004D32F5"/>
    <w:rsid w:val="004D6A04"/>
    <w:rsid w:val="004D7657"/>
    <w:rsid w:val="004E256B"/>
    <w:rsid w:val="004E5699"/>
    <w:rsid w:val="004E6406"/>
    <w:rsid w:val="005032FA"/>
    <w:rsid w:val="00511230"/>
    <w:rsid w:val="00512F73"/>
    <w:rsid w:val="00517C99"/>
    <w:rsid w:val="005247D3"/>
    <w:rsid w:val="00525CD5"/>
    <w:rsid w:val="00527261"/>
    <w:rsid w:val="00527343"/>
    <w:rsid w:val="00531E81"/>
    <w:rsid w:val="00532828"/>
    <w:rsid w:val="00541012"/>
    <w:rsid w:val="0054218C"/>
    <w:rsid w:val="005519FC"/>
    <w:rsid w:val="005548E5"/>
    <w:rsid w:val="00557F6B"/>
    <w:rsid w:val="00565E0F"/>
    <w:rsid w:val="00574745"/>
    <w:rsid w:val="0058101B"/>
    <w:rsid w:val="00583888"/>
    <w:rsid w:val="00583953"/>
    <w:rsid w:val="00585F44"/>
    <w:rsid w:val="00590396"/>
    <w:rsid w:val="005A14B2"/>
    <w:rsid w:val="005A222C"/>
    <w:rsid w:val="005A39FF"/>
    <w:rsid w:val="005B58BD"/>
    <w:rsid w:val="005C2799"/>
    <w:rsid w:val="005C710C"/>
    <w:rsid w:val="005D1AE5"/>
    <w:rsid w:val="005D5243"/>
    <w:rsid w:val="005D55CB"/>
    <w:rsid w:val="005D5F02"/>
    <w:rsid w:val="005F5DBD"/>
    <w:rsid w:val="006010C8"/>
    <w:rsid w:val="00603DBB"/>
    <w:rsid w:val="006042C5"/>
    <w:rsid w:val="00605739"/>
    <w:rsid w:val="006058EC"/>
    <w:rsid w:val="0060688B"/>
    <w:rsid w:val="00615525"/>
    <w:rsid w:val="00620730"/>
    <w:rsid w:val="006209B1"/>
    <w:rsid w:val="00620BE3"/>
    <w:rsid w:val="00623C0C"/>
    <w:rsid w:val="00624D69"/>
    <w:rsid w:val="006274F9"/>
    <w:rsid w:val="0063624C"/>
    <w:rsid w:val="006475AA"/>
    <w:rsid w:val="00660E62"/>
    <w:rsid w:val="00661B8E"/>
    <w:rsid w:val="00662DA3"/>
    <w:rsid w:val="00663472"/>
    <w:rsid w:val="006706E3"/>
    <w:rsid w:val="00674F49"/>
    <w:rsid w:val="0067546F"/>
    <w:rsid w:val="00675DFB"/>
    <w:rsid w:val="006810A7"/>
    <w:rsid w:val="0068775B"/>
    <w:rsid w:val="00690C52"/>
    <w:rsid w:val="00692FBE"/>
    <w:rsid w:val="006A2C73"/>
    <w:rsid w:val="006A4EC8"/>
    <w:rsid w:val="006A6BDD"/>
    <w:rsid w:val="006A72AE"/>
    <w:rsid w:val="006B1B63"/>
    <w:rsid w:val="006D06D7"/>
    <w:rsid w:val="006D0B8F"/>
    <w:rsid w:val="006D1755"/>
    <w:rsid w:val="006D3802"/>
    <w:rsid w:val="006E143B"/>
    <w:rsid w:val="006E3CFC"/>
    <w:rsid w:val="006E434B"/>
    <w:rsid w:val="006E466E"/>
    <w:rsid w:val="006F5BBF"/>
    <w:rsid w:val="006F63DB"/>
    <w:rsid w:val="00703687"/>
    <w:rsid w:val="00713BC3"/>
    <w:rsid w:val="00716D28"/>
    <w:rsid w:val="00722A6A"/>
    <w:rsid w:val="0072764F"/>
    <w:rsid w:val="00727C9C"/>
    <w:rsid w:val="00727E7F"/>
    <w:rsid w:val="00730FDD"/>
    <w:rsid w:val="007420CB"/>
    <w:rsid w:val="007456C3"/>
    <w:rsid w:val="00745FF8"/>
    <w:rsid w:val="00757D84"/>
    <w:rsid w:val="00762B3E"/>
    <w:rsid w:val="00772C95"/>
    <w:rsid w:val="00772F42"/>
    <w:rsid w:val="00786180"/>
    <w:rsid w:val="0078709E"/>
    <w:rsid w:val="00790EAD"/>
    <w:rsid w:val="00791075"/>
    <w:rsid w:val="007A2788"/>
    <w:rsid w:val="007A2F93"/>
    <w:rsid w:val="007A3DCF"/>
    <w:rsid w:val="007A3F39"/>
    <w:rsid w:val="007A475C"/>
    <w:rsid w:val="007A499F"/>
    <w:rsid w:val="007A6C62"/>
    <w:rsid w:val="007B1CA1"/>
    <w:rsid w:val="007B3F71"/>
    <w:rsid w:val="007B6BB3"/>
    <w:rsid w:val="007B6EB7"/>
    <w:rsid w:val="007B7F93"/>
    <w:rsid w:val="007C5754"/>
    <w:rsid w:val="007D1A3C"/>
    <w:rsid w:val="007D1DD2"/>
    <w:rsid w:val="007D5D86"/>
    <w:rsid w:val="007E198E"/>
    <w:rsid w:val="007E1CED"/>
    <w:rsid w:val="007E2848"/>
    <w:rsid w:val="007E2A9E"/>
    <w:rsid w:val="007E44FD"/>
    <w:rsid w:val="007E7C8A"/>
    <w:rsid w:val="007F2302"/>
    <w:rsid w:val="007F4DCB"/>
    <w:rsid w:val="007F60DE"/>
    <w:rsid w:val="00801B8B"/>
    <w:rsid w:val="008028F3"/>
    <w:rsid w:val="00805F27"/>
    <w:rsid w:val="00807F78"/>
    <w:rsid w:val="00813997"/>
    <w:rsid w:val="00814A4D"/>
    <w:rsid w:val="00814B79"/>
    <w:rsid w:val="0083273A"/>
    <w:rsid w:val="008477C0"/>
    <w:rsid w:val="00850CB7"/>
    <w:rsid w:val="008518DD"/>
    <w:rsid w:val="0085558A"/>
    <w:rsid w:val="00862289"/>
    <w:rsid w:val="0086520B"/>
    <w:rsid w:val="00865D3D"/>
    <w:rsid w:val="008823A6"/>
    <w:rsid w:val="008860D7"/>
    <w:rsid w:val="008907A0"/>
    <w:rsid w:val="008931C2"/>
    <w:rsid w:val="008A6F8A"/>
    <w:rsid w:val="008B441C"/>
    <w:rsid w:val="008B5F01"/>
    <w:rsid w:val="008C04C0"/>
    <w:rsid w:val="008C0FF4"/>
    <w:rsid w:val="008C2C79"/>
    <w:rsid w:val="008C4130"/>
    <w:rsid w:val="008C55F8"/>
    <w:rsid w:val="008D4004"/>
    <w:rsid w:val="008E4DCB"/>
    <w:rsid w:val="008E7258"/>
    <w:rsid w:val="008F0A81"/>
    <w:rsid w:val="008F1CEC"/>
    <w:rsid w:val="008F3C01"/>
    <w:rsid w:val="008F54BA"/>
    <w:rsid w:val="009009F0"/>
    <w:rsid w:val="0090308D"/>
    <w:rsid w:val="00912E2A"/>
    <w:rsid w:val="00913257"/>
    <w:rsid w:val="00931C7A"/>
    <w:rsid w:val="00933935"/>
    <w:rsid w:val="00935676"/>
    <w:rsid w:val="00935B72"/>
    <w:rsid w:val="00937147"/>
    <w:rsid w:val="00942775"/>
    <w:rsid w:val="00943945"/>
    <w:rsid w:val="009500A1"/>
    <w:rsid w:val="00961C72"/>
    <w:rsid w:val="00962751"/>
    <w:rsid w:val="00962899"/>
    <w:rsid w:val="00970B12"/>
    <w:rsid w:val="00972575"/>
    <w:rsid w:val="00972DD5"/>
    <w:rsid w:val="00973AFB"/>
    <w:rsid w:val="00974157"/>
    <w:rsid w:val="00974943"/>
    <w:rsid w:val="00975875"/>
    <w:rsid w:val="00975D9C"/>
    <w:rsid w:val="009804F4"/>
    <w:rsid w:val="00982C4E"/>
    <w:rsid w:val="00992EF2"/>
    <w:rsid w:val="009936A1"/>
    <w:rsid w:val="009A0925"/>
    <w:rsid w:val="009A1B7E"/>
    <w:rsid w:val="009A310D"/>
    <w:rsid w:val="009A3470"/>
    <w:rsid w:val="009A43EE"/>
    <w:rsid w:val="009A74AC"/>
    <w:rsid w:val="009C0B29"/>
    <w:rsid w:val="009C140F"/>
    <w:rsid w:val="009D2D08"/>
    <w:rsid w:val="009D3EC0"/>
    <w:rsid w:val="009D6F41"/>
    <w:rsid w:val="009E3199"/>
    <w:rsid w:val="009E6BF3"/>
    <w:rsid w:val="009E6E70"/>
    <w:rsid w:val="009F2838"/>
    <w:rsid w:val="009F3D10"/>
    <w:rsid w:val="009F5577"/>
    <w:rsid w:val="009F58DD"/>
    <w:rsid w:val="009F7D0E"/>
    <w:rsid w:val="00A004FA"/>
    <w:rsid w:val="00A10963"/>
    <w:rsid w:val="00A128A5"/>
    <w:rsid w:val="00A26616"/>
    <w:rsid w:val="00A26AF2"/>
    <w:rsid w:val="00A33F02"/>
    <w:rsid w:val="00A36AAD"/>
    <w:rsid w:val="00A37FBC"/>
    <w:rsid w:val="00A47E6C"/>
    <w:rsid w:val="00A50981"/>
    <w:rsid w:val="00A559F9"/>
    <w:rsid w:val="00A5788C"/>
    <w:rsid w:val="00A60D3E"/>
    <w:rsid w:val="00A77D07"/>
    <w:rsid w:val="00A813C6"/>
    <w:rsid w:val="00A92062"/>
    <w:rsid w:val="00A93257"/>
    <w:rsid w:val="00A95009"/>
    <w:rsid w:val="00AA43F6"/>
    <w:rsid w:val="00AA5A18"/>
    <w:rsid w:val="00AB2FB2"/>
    <w:rsid w:val="00AC14A1"/>
    <w:rsid w:val="00AC52FA"/>
    <w:rsid w:val="00AC5E27"/>
    <w:rsid w:val="00AC643C"/>
    <w:rsid w:val="00AD0B8F"/>
    <w:rsid w:val="00AD2116"/>
    <w:rsid w:val="00AD6955"/>
    <w:rsid w:val="00AF2DAE"/>
    <w:rsid w:val="00B060A0"/>
    <w:rsid w:val="00B07B11"/>
    <w:rsid w:val="00B1253F"/>
    <w:rsid w:val="00B23A93"/>
    <w:rsid w:val="00B23F8C"/>
    <w:rsid w:val="00B27716"/>
    <w:rsid w:val="00B3450D"/>
    <w:rsid w:val="00B356B4"/>
    <w:rsid w:val="00B371F1"/>
    <w:rsid w:val="00B41638"/>
    <w:rsid w:val="00B50485"/>
    <w:rsid w:val="00B510B0"/>
    <w:rsid w:val="00B54FE6"/>
    <w:rsid w:val="00B55359"/>
    <w:rsid w:val="00B55BAB"/>
    <w:rsid w:val="00B564D3"/>
    <w:rsid w:val="00B63494"/>
    <w:rsid w:val="00B66C3C"/>
    <w:rsid w:val="00B714B4"/>
    <w:rsid w:val="00B771F9"/>
    <w:rsid w:val="00B8146F"/>
    <w:rsid w:val="00B848AC"/>
    <w:rsid w:val="00B93449"/>
    <w:rsid w:val="00B97A55"/>
    <w:rsid w:val="00BA2271"/>
    <w:rsid w:val="00BB03CC"/>
    <w:rsid w:val="00BB23F5"/>
    <w:rsid w:val="00BB3E62"/>
    <w:rsid w:val="00BB5D6A"/>
    <w:rsid w:val="00BB6837"/>
    <w:rsid w:val="00BD0E09"/>
    <w:rsid w:val="00BD23DF"/>
    <w:rsid w:val="00BD4670"/>
    <w:rsid w:val="00BF0FA4"/>
    <w:rsid w:val="00BF16DC"/>
    <w:rsid w:val="00BF35DB"/>
    <w:rsid w:val="00BF36B5"/>
    <w:rsid w:val="00C15CC3"/>
    <w:rsid w:val="00C168B7"/>
    <w:rsid w:val="00C169C3"/>
    <w:rsid w:val="00C16BEF"/>
    <w:rsid w:val="00C20202"/>
    <w:rsid w:val="00C325C8"/>
    <w:rsid w:val="00C5036D"/>
    <w:rsid w:val="00C50D8C"/>
    <w:rsid w:val="00C51BD6"/>
    <w:rsid w:val="00C54D8C"/>
    <w:rsid w:val="00C5679B"/>
    <w:rsid w:val="00C63960"/>
    <w:rsid w:val="00C653EC"/>
    <w:rsid w:val="00C73E15"/>
    <w:rsid w:val="00C8485D"/>
    <w:rsid w:val="00C8724E"/>
    <w:rsid w:val="00C87D4D"/>
    <w:rsid w:val="00C900E2"/>
    <w:rsid w:val="00C90812"/>
    <w:rsid w:val="00C93DB5"/>
    <w:rsid w:val="00C9713D"/>
    <w:rsid w:val="00CA591C"/>
    <w:rsid w:val="00CA7182"/>
    <w:rsid w:val="00CB0C3B"/>
    <w:rsid w:val="00CB2D42"/>
    <w:rsid w:val="00CC28D0"/>
    <w:rsid w:val="00CC3F8C"/>
    <w:rsid w:val="00CC60BB"/>
    <w:rsid w:val="00CC62AB"/>
    <w:rsid w:val="00CC7724"/>
    <w:rsid w:val="00CD04B6"/>
    <w:rsid w:val="00CE3706"/>
    <w:rsid w:val="00CE71CF"/>
    <w:rsid w:val="00CF46CD"/>
    <w:rsid w:val="00CF7CA1"/>
    <w:rsid w:val="00D077A9"/>
    <w:rsid w:val="00D27C54"/>
    <w:rsid w:val="00D368E6"/>
    <w:rsid w:val="00D52A4A"/>
    <w:rsid w:val="00D55B2C"/>
    <w:rsid w:val="00D625F5"/>
    <w:rsid w:val="00D66A46"/>
    <w:rsid w:val="00D7062D"/>
    <w:rsid w:val="00D73C03"/>
    <w:rsid w:val="00D77E68"/>
    <w:rsid w:val="00D822C9"/>
    <w:rsid w:val="00D84937"/>
    <w:rsid w:val="00D96580"/>
    <w:rsid w:val="00DA18A5"/>
    <w:rsid w:val="00DA1C3B"/>
    <w:rsid w:val="00DB04B7"/>
    <w:rsid w:val="00DB0BEA"/>
    <w:rsid w:val="00DB2F18"/>
    <w:rsid w:val="00DB4705"/>
    <w:rsid w:val="00DB4B94"/>
    <w:rsid w:val="00DC114F"/>
    <w:rsid w:val="00DC16C5"/>
    <w:rsid w:val="00DC525E"/>
    <w:rsid w:val="00DD04C2"/>
    <w:rsid w:val="00DD145D"/>
    <w:rsid w:val="00DD1C48"/>
    <w:rsid w:val="00DD2CDE"/>
    <w:rsid w:val="00DD3022"/>
    <w:rsid w:val="00DE125A"/>
    <w:rsid w:val="00DE31EF"/>
    <w:rsid w:val="00DE6FC2"/>
    <w:rsid w:val="00DF20A2"/>
    <w:rsid w:val="00DF2898"/>
    <w:rsid w:val="00E01530"/>
    <w:rsid w:val="00E0465A"/>
    <w:rsid w:val="00E04ED4"/>
    <w:rsid w:val="00E14185"/>
    <w:rsid w:val="00E14363"/>
    <w:rsid w:val="00E34047"/>
    <w:rsid w:val="00E367D3"/>
    <w:rsid w:val="00E45DA8"/>
    <w:rsid w:val="00E50FCC"/>
    <w:rsid w:val="00E51F1D"/>
    <w:rsid w:val="00E53BC7"/>
    <w:rsid w:val="00E545E2"/>
    <w:rsid w:val="00E55DF4"/>
    <w:rsid w:val="00E56EFF"/>
    <w:rsid w:val="00E61073"/>
    <w:rsid w:val="00E66FAE"/>
    <w:rsid w:val="00E70460"/>
    <w:rsid w:val="00E708DF"/>
    <w:rsid w:val="00E744E7"/>
    <w:rsid w:val="00E8121C"/>
    <w:rsid w:val="00E93EAE"/>
    <w:rsid w:val="00EA615E"/>
    <w:rsid w:val="00EA75F7"/>
    <w:rsid w:val="00EC2F38"/>
    <w:rsid w:val="00ED2294"/>
    <w:rsid w:val="00ED6D02"/>
    <w:rsid w:val="00EE5312"/>
    <w:rsid w:val="00EE77B7"/>
    <w:rsid w:val="00EF6C6D"/>
    <w:rsid w:val="00EF6CB4"/>
    <w:rsid w:val="00F02311"/>
    <w:rsid w:val="00F03812"/>
    <w:rsid w:val="00F125C2"/>
    <w:rsid w:val="00F201C7"/>
    <w:rsid w:val="00F26AB5"/>
    <w:rsid w:val="00F30677"/>
    <w:rsid w:val="00F30C15"/>
    <w:rsid w:val="00F35B05"/>
    <w:rsid w:val="00F37FA9"/>
    <w:rsid w:val="00F424D8"/>
    <w:rsid w:val="00F44DD8"/>
    <w:rsid w:val="00F479BD"/>
    <w:rsid w:val="00F517FE"/>
    <w:rsid w:val="00F5431A"/>
    <w:rsid w:val="00F6066D"/>
    <w:rsid w:val="00F738C4"/>
    <w:rsid w:val="00F81738"/>
    <w:rsid w:val="00F81B1D"/>
    <w:rsid w:val="00F82085"/>
    <w:rsid w:val="00F8613D"/>
    <w:rsid w:val="00F8763F"/>
    <w:rsid w:val="00FA527F"/>
    <w:rsid w:val="00FA66AF"/>
    <w:rsid w:val="00FA6E24"/>
    <w:rsid w:val="00FB0ECF"/>
    <w:rsid w:val="00FB69A1"/>
    <w:rsid w:val="00FB7FD9"/>
    <w:rsid w:val="00FC1C90"/>
    <w:rsid w:val="00FC2EED"/>
    <w:rsid w:val="00FC55DA"/>
    <w:rsid w:val="00FC632B"/>
    <w:rsid w:val="00FC7C96"/>
    <w:rsid w:val="00FD3FC3"/>
    <w:rsid w:val="00FD6897"/>
    <w:rsid w:val="00FD7BA9"/>
    <w:rsid w:val="00FF0328"/>
    <w:rsid w:val="00FF2561"/>
    <w:rsid w:val="00FF3C3D"/>
    <w:rsid w:val="00FF4602"/>
    <w:rsid w:val="09493CDE"/>
    <w:rsid w:val="0AA10BAF"/>
    <w:rsid w:val="0AAA4441"/>
    <w:rsid w:val="12277E29"/>
    <w:rsid w:val="15966DDA"/>
    <w:rsid w:val="16502A94"/>
    <w:rsid w:val="1A2E271A"/>
    <w:rsid w:val="1BA62C0F"/>
    <w:rsid w:val="1C2A68CE"/>
    <w:rsid w:val="1EB35334"/>
    <w:rsid w:val="203C6EC4"/>
    <w:rsid w:val="2102627D"/>
    <w:rsid w:val="228A0AB7"/>
    <w:rsid w:val="23FE5AA5"/>
    <w:rsid w:val="244E7A04"/>
    <w:rsid w:val="249F3B7E"/>
    <w:rsid w:val="2A3128F8"/>
    <w:rsid w:val="2C0F763F"/>
    <w:rsid w:val="2D572C69"/>
    <w:rsid w:val="35207715"/>
    <w:rsid w:val="36FE03EF"/>
    <w:rsid w:val="3A694E52"/>
    <w:rsid w:val="42D96A48"/>
    <w:rsid w:val="4A445A85"/>
    <w:rsid w:val="4C5E63FA"/>
    <w:rsid w:val="4F3B2593"/>
    <w:rsid w:val="52F7025D"/>
    <w:rsid w:val="552B7FDD"/>
    <w:rsid w:val="55CA78E4"/>
    <w:rsid w:val="58476EA7"/>
    <w:rsid w:val="6244400A"/>
    <w:rsid w:val="6529292C"/>
    <w:rsid w:val="654955E6"/>
    <w:rsid w:val="711450C9"/>
    <w:rsid w:val="7365383E"/>
    <w:rsid w:val="76053B7F"/>
    <w:rsid w:val="7B6F4B8E"/>
    <w:rsid w:val="7E7151B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ind w:left="840" w:leftChars="400"/>
    </w:pPr>
  </w:style>
  <w:style w:type="paragraph" w:styleId="3">
    <w:name w:val="Plain Text"/>
    <w:basedOn w:val="1"/>
    <w:qFormat/>
    <w:uiPriority w:val="0"/>
    <w:pPr>
      <w:overflowPunct w:val="0"/>
      <w:spacing w:line="560" w:lineRule="exact"/>
      <w:ind w:firstLine="880" w:firstLineChars="200"/>
    </w:pPr>
    <w:rPr>
      <w:rFonts w:ascii="宋体" w:hAnsi="宋体" w:eastAsia="仿宋_GB2312"/>
      <w:sz w:val="32"/>
      <w:szCs w:val="20"/>
      <w:lang w:val="zh-CN"/>
    </w:rPr>
  </w:style>
  <w:style w:type="paragraph" w:styleId="4">
    <w:name w:val="Date"/>
    <w:basedOn w:val="1"/>
    <w:next w:val="1"/>
    <w:link w:val="14"/>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qFormat/>
    <w:uiPriority w:val="0"/>
  </w:style>
  <w:style w:type="paragraph" w:customStyle="1" w:styleId="13">
    <w:name w:val=" Char Char Char Char"/>
    <w:basedOn w:val="1"/>
    <w:qFormat/>
    <w:uiPriority w:val="0"/>
    <w:rPr>
      <w:rFonts w:ascii="宋体" w:hAnsi="宋体" w:cs="Courier New"/>
      <w:sz w:val="32"/>
      <w:szCs w:val="32"/>
    </w:rPr>
  </w:style>
  <w:style w:type="character" w:customStyle="1" w:styleId="14">
    <w:name w:val="日期 Char"/>
    <w:link w:val="4"/>
    <w:qFormat/>
    <w:uiPriority w:val="0"/>
    <w:rPr>
      <w:kern w:val="2"/>
      <w:sz w:val="21"/>
      <w:szCs w:val="24"/>
    </w:rPr>
  </w:style>
  <w:style w:type="character" w:customStyle="1" w:styleId="15">
    <w:name w:val="页脚 Char"/>
    <w:link w:val="6"/>
    <w:qFormat/>
    <w:uiPriority w:val="99"/>
    <w:rPr>
      <w:kern w:val="2"/>
      <w:sz w:val="18"/>
      <w:szCs w:val="18"/>
    </w:rPr>
  </w:style>
  <w:style w:type="character" w:customStyle="1" w:styleId="16">
    <w:name w:val="页眉 Char"/>
    <w:link w:val="7"/>
    <w:qFormat/>
    <w:uiPriority w:val="0"/>
    <w:rPr>
      <w:kern w:val="2"/>
      <w:sz w:val="18"/>
      <w:szCs w:val="18"/>
    </w:rPr>
  </w:style>
  <w:style w:type="table" w:customStyle="1" w:styleId="17">
    <w:name w:val="网格型1"/>
    <w:basedOn w:val="9"/>
    <w:qFormat/>
    <w:uiPriority w:val="5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8">
    <w:name w:val="List Paragraph"/>
    <w:basedOn w:val="1"/>
    <w:qFormat/>
    <w:uiPriority w:val="34"/>
    <w:pPr>
      <w:ind w:firstLine="420" w:firstLineChars="200"/>
    </w:pPr>
  </w:style>
  <w:style w:type="paragraph" w:customStyle="1" w:styleId="19">
    <w:name w:val="Normal Indent1"/>
    <w:qFormat/>
    <w:uiPriority w:val="99"/>
    <w:pPr>
      <w:widowControl w:val="0"/>
      <w:ind w:firstLine="420" w:firstLineChars="2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www.xunchi.com</Company>
  <Pages>2</Pages>
  <Words>77</Words>
  <Characters>444</Characters>
  <Lines>3</Lines>
  <Paragraphs>1</Paragraphs>
  <TotalTime>5</TotalTime>
  <ScaleCrop>false</ScaleCrop>
  <LinksUpToDate>false</LinksUpToDate>
  <CharactersWithSpaces>520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2019-03-15T07:08:00Z</dcterms:created>
  <dc:creator>a</dc:creator>
  <cp:lastModifiedBy>椿树街道</cp:lastModifiedBy>
  <cp:lastPrinted>2019-12-19T08:44:00Z</cp:lastPrinted>
  <dcterms:modified xsi:type="dcterms:W3CDTF">2021-12-15T08:06:16Z</dcterms:modified>
  <dc:title>北京市西城区人民政府椿树街道办事处</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